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CE" w:rsidRPr="00DE350A" w:rsidRDefault="006C63CE" w:rsidP="006C63CE">
      <w:pPr>
        <w:jc w:val="center"/>
        <w:rPr>
          <w:rFonts w:ascii="Times New Roman" w:hAnsi="Times New Roman" w:cs="Times New Roman"/>
          <w:b/>
          <w:smallCaps/>
          <w:sz w:val="24"/>
          <w:szCs w:val="24"/>
          <w:lang w:val="hu-HU"/>
        </w:rPr>
      </w:pPr>
      <w:r w:rsidRPr="00DE350A">
        <w:rPr>
          <w:rFonts w:ascii="Times New Roman" w:hAnsi="Times New Roman" w:cs="Times New Roman"/>
          <w:b/>
          <w:smallCaps/>
          <w:sz w:val="24"/>
          <w:szCs w:val="24"/>
          <w:lang w:val="hu-HU"/>
        </w:rPr>
        <w:t>Adatkezelési Szabályzat</w:t>
      </w:r>
    </w:p>
    <w:p w:rsidR="006C63CE" w:rsidRPr="00DE350A" w:rsidRDefault="006C63CE" w:rsidP="006C63CE">
      <w:pPr>
        <w:jc w:val="center"/>
        <w:rPr>
          <w:rFonts w:ascii="Times New Roman" w:hAnsi="Times New Roman" w:cs="Times New Roman"/>
          <w:b/>
          <w:sz w:val="24"/>
          <w:szCs w:val="24"/>
          <w:lang w:val="hu-HU"/>
        </w:rPr>
      </w:pPr>
      <w:r w:rsidRPr="00DE350A">
        <w:rPr>
          <w:rFonts w:ascii="Times New Roman" w:hAnsi="Times New Roman" w:cs="Times New Roman"/>
          <w:b/>
          <w:sz w:val="24"/>
          <w:szCs w:val="24"/>
          <w:lang w:val="hu-HU"/>
        </w:rPr>
        <w:t>[a GDPR alapján]</w:t>
      </w:r>
    </w:p>
    <w:p w:rsidR="006C63CE" w:rsidRPr="00DE350A" w:rsidRDefault="006C63CE" w:rsidP="006C63CE">
      <w:pPr>
        <w:tabs>
          <w:tab w:val="left" w:pos="3330"/>
        </w:tabs>
        <w:rPr>
          <w:rFonts w:ascii="Times New Roman" w:hAnsi="Times New Roman" w:cs="Times New Roman"/>
          <w:b/>
          <w:sz w:val="24"/>
          <w:szCs w:val="24"/>
          <w:lang w:val="hu-HU"/>
        </w:rPr>
      </w:pPr>
      <w:r>
        <w:rPr>
          <w:rFonts w:ascii="Times New Roman" w:hAnsi="Times New Roman" w:cs="Times New Roman"/>
          <w:b/>
          <w:sz w:val="24"/>
          <w:szCs w:val="24"/>
          <w:lang w:val="hu-HU"/>
        </w:rPr>
        <w:tab/>
      </w:r>
    </w:p>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02"/>
      </w:tblGrid>
      <w:tr w:rsidR="006C63CE" w:rsidRPr="00A718EC" w:rsidTr="006C63CE">
        <w:tc>
          <w:tcPr>
            <w:tcW w:w="4248"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Közzététel időpontja:</w:t>
            </w:r>
          </w:p>
        </w:tc>
        <w:tc>
          <w:tcPr>
            <w:tcW w:w="5102" w:type="dxa"/>
          </w:tcPr>
          <w:p w:rsidR="006C63CE" w:rsidRPr="00DE350A" w:rsidRDefault="006C63CE" w:rsidP="006C63CE">
            <w:pPr>
              <w:spacing w:before="120"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2018. május 25.</w:t>
            </w:r>
          </w:p>
        </w:tc>
      </w:tr>
      <w:tr w:rsidR="006C63CE" w:rsidRPr="00A718EC" w:rsidTr="006C63CE">
        <w:tc>
          <w:tcPr>
            <w:tcW w:w="4248"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Az 1. felülvizsgálat legkésőbbi időpontja:</w:t>
            </w:r>
          </w:p>
        </w:tc>
        <w:tc>
          <w:tcPr>
            <w:tcW w:w="5102"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2019. május 24.</w:t>
            </w:r>
          </w:p>
        </w:tc>
      </w:tr>
      <w:tr w:rsidR="006C63CE" w:rsidRPr="00A718EC" w:rsidTr="006C63CE">
        <w:tc>
          <w:tcPr>
            <w:tcW w:w="4248"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Az 1. felülvizsgálat nyomán bevezetett változtatások hatályba lépésének időpontja:</w:t>
            </w:r>
          </w:p>
        </w:tc>
        <w:tc>
          <w:tcPr>
            <w:tcW w:w="5102"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2019. május 31.</w:t>
            </w:r>
          </w:p>
        </w:tc>
      </w:tr>
      <w:tr w:rsidR="006C63CE" w:rsidRPr="00A718EC" w:rsidTr="006C63CE">
        <w:tc>
          <w:tcPr>
            <w:tcW w:w="4248"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Az 1. felülvizsgálat során módosított szakaszok:</w:t>
            </w:r>
          </w:p>
        </w:tc>
        <w:tc>
          <w:tcPr>
            <w:tcW w:w="5102"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sidDel="007610CB">
              <w:rPr>
                <w:rFonts w:ascii="Times New Roman" w:hAnsi="Times New Roman" w:cs="Times New Roman"/>
                <w:sz w:val="24"/>
                <w:szCs w:val="24"/>
                <w:highlight w:val="yellow"/>
                <w:lang w:val="hu-HU"/>
              </w:rPr>
              <w:t xml:space="preserve"> </w:t>
            </w:r>
          </w:p>
        </w:tc>
      </w:tr>
      <w:tr w:rsidR="006C63CE" w:rsidRPr="00A718EC" w:rsidTr="006C63CE">
        <w:tc>
          <w:tcPr>
            <w:tcW w:w="4248"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A 2. felülvizsgálat legkésőbbi időpontja:</w:t>
            </w:r>
          </w:p>
        </w:tc>
        <w:tc>
          <w:tcPr>
            <w:tcW w:w="5102" w:type="dxa"/>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lang w:val="hu-HU"/>
              </w:rPr>
              <w:t>2020.május 23.</w:t>
            </w:r>
          </w:p>
        </w:tc>
      </w:tr>
      <w:tr w:rsidR="006C63CE" w:rsidRPr="00A718EC" w:rsidTr="006C63CE">
        <w:tc>
          <w:tcPr>
            <w:tcW w:w="4248" w:type="dxa"/>
          </w:tcPr>
          <w:p w:rsidR="006C63CE" w:rsidRPr="00DE350A" w:rsidRDefault="006C63CE" w:rsidP="006C63CE">
            <w:pPr>
              <w:spacing w:before="120" w:after="120"/>
              <w:jc w:val="both"/>
              <w:rPr>
                <w:rFonts w:ascii="Times New Roman" w:hAnsi="Times New Roman" w:cs="Times New Roman"/>
                <w:sz w:val="24"/>
                <w:szCs w:val="24"/>
                <w:lang w:val="hu-HU"/>
              </w:rPr>
            </w:pPr>
          </w:p>
        </w:tc>
        <w:tc>
          <w:tcPr>
            <w:tcW w:w="5102" w:type="dxa"/>
          </w:tcPr>
          <w:p w:rsidR="006C63CE" w:rsidRPr="00DE350A" w:rsidRDefault="006C63CE" w:rsidP="006C63CE">
            <w:pPr>
              <w:spacing w:before="120" w:after="120"/>
              <w:jc w:val="both"/>
              <w:rPr>
                <w:rFonts w:ascii="Times New Roman" w:hAnsi="Times New Roman" w:cs="Times New Roman"/>
                <w:sz w:val="24"/>
                <w:szCs w:val="24"/>
                <w:highlight w:val="yellow"/>
                <w:lang w:val="hu-HU"/>
              </w:rPr>
            </w:pPr>
          </w:p>
        </w:tc>
      </w:tr>
    </w:tbl>
    <w:p w:rsidR="006C63CE" w:rsidRPr="00DE350A" w:rsidRDefault="006C63CE" w:rsidP="006C63CE">
      <w:pPr>
        <w:rPr>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3491"/>
        <w:gridCol w:w="2973"/>
      </w:tblGrid>
      <w:tr w:rsidR="006C63CE" w:rsidRPr="00A718EC" w:rsidTr="006C63CE">
        <w:tc>
          <w:tcPr>
            <w:tcW w:w="2552" w:type="dxa"/>
          </w:tcPr>
          <w:p w:rsidR="006C63CE" w:rsidRPr="00DE350A" w:rsidRDefault="006C63CE" w:rsidP="006C63CE">
            <w:pPr>
              <w:spacing w:before="120" w:after="120"/>
              <w:jc w:val="both"/>
              <w:rPr>
                <w:rFonts w:ascii="Times New Roman" w:hAnsi="Times New Roman" w:cs="Times New Roman"/>
                <w:b/>
                <w:sz w:val="24"/>
                <w:szCs w:val="24"/>
                <w:lang w:val="hu-HU"/>
              </w:rPr>
            </w:pPr>
          </w:p>
        </w:tc>
        <w:tc>
          <w:tcPr>
            <w:tcW w:w="3681" w:type="dxa"/>
          </w:tcPr>
          <w:p w:rsidR="006C63CE" w:rsidRPr="00DE350A"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sz w:val="24"/>
                <w:szCs w:val="24"/>
                <w:lang w:val="hu-HU"/>
              </w:rPr>
              <w:t xml:space="preserve">        </w:t>
            </w:r>
            <w:r w:rsidRPr="00DE350A">
              <w:rPr>
                <w:rFonts w:ascii="Times New Roman" w:hAnsi="Times New Roman" w:cs="Times New Roman"/>
                <w:sz w:val="24"/>
                <w:szCs w:val="24"/>
                <w:lang w:val="hu-HU"/>
              </w:rPr>
              <w:t>Név/munkakör</w:t>
            </w:r>
          </w:p>
        </w:tc>
        <w:tc>
          <w:tcPr>
            <w:tcW w:w="3117" w:type="dxa"/>
          </w:tcPr>
          <w:p w:rsidR="006C63CE" w:rsidRPr="00DE350A"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sz w:val="24"/>
                <w:szCs w:val="24"/>
                <w:lang w:val="hu-HU"/>
              </w:rPr>
              <w:t xml:space="preserve">        </w:t>
            </w:r>
            <w:r w:rsidRPr="00DE350A">
              <w:rPr>
                <w:rFonts w:ascii="Times New Roman" w:hAnsi="Times New Roman" w:cs="Times New Roman"/>
                <w:sz w:val="24"/>
                <w:szCs w:val="24"/>
                <w:lang w:val="hu-HU"/>
              </w:rPr>
              <w:t>Aláírás/dátum</w:t>
            </w:r>
          </w:p>
        </w:tc>
      </w:tr>
      <w:tr w:rsidR="006C63CE" w:rsidRPr="00A718EC" w:rsidTr="006C63CE">
        <w:tc>
          <w:tcPr>
            <w:tcW w:w="2552" w:type="dxa"/>
          </w:tcPr>
          <w:p w:rsidR="006C63CE" w:rsidRDefault="006C63CE" w:rsidP="006C63CE">
            <w:pPr>
              <w:spacing w:before="120"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Készítette / Felülvizsgálatot elvégezte: </w:t>
            </w:r>
          </w:p>
          <w:p w:rsidR="006C63CE" w:rsidRDefault="006C63CE" w:rsidP="006C63CE">
            <w:pPr>
              <w:spacing w:before="120" w:after="120"/>
              <w:jc w:val="both"/>
              <w:rPr>
                <w:rFonts w:ascii="Times New Roman" w:hAnsi="Times New Roman" w:cs="Times New Roman"/>
                <w:sz w:val="24"/>
                <w:szCs w:val="24"/>
                <w:lang w:val="hu-HU"/>
              </w:rPr>
            </w:pPr>
          </w:p>
          <w:p w:rsidR="006C63CE" w:rsidRPr="00DE350A" w:rsidRDefault="006C63CE" w:rsidP="006C63CE">
            <w:pPr>
              <w:spacing w:before="120" w:after="120"/>
              <w:jc w:val="both"/>
              <w:rPr>
                <w:rFonts w:ascii="Times New Roman" w:hAnsi="Times New Roman" w:cs="Times New Roman"/>
                <w:b/>
                <w:sz w:val="24"/>
                <w:szCs w:val="24"/>
                <w:lang w:val="hu-HU"/>
              </w:rPr>
            </w:pPr>
          </w:p>
        </w:tc>
        <w:tc>
          <w:tcPr>
            <w:tcW w:w="3681" w:type="dxa"/>
          </w:tcPr>
          <w:p w:rsidR="006C63CE"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   </w:t>
            </w:r>
          </w:p>
          <w:p w:rsidR="006C63CE" w:rsidRDefault="006C63CE" w:rsidP="006C63CE">
            <w:pPr>
              <w:spacing w:before="120" w:after="120"/>
              <w:jc w:val="both"/>
              <w:rPr>
                <w:rFonts w:ascii="Times New Roman" w:hAnsi="Times New Roman" w:cs="Times New Roman"/>
                <w:b/>
                <w:sz w:val="24"/>
                <w:szCs w:val="24"/>
                <w:lang w:val="hu-HU"/>
              </w:rPr>
            </w:pPr>
          </w:p>
          <w:p w:rsidR="006C63CE"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b/>
                <w:sz w:val="24"/>
                <w:szCs w:val="24"/>
                <w:lang w:val="hu-HU"/>
              </w:rPr>
              <w:t>Dr. Szepesi Ferenc</w:t>
            </w:r>
          </w:p>
          <w:p w:rsidR="006C63CE" w:rsidRPr="00DE350A"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ügyvezető   </w:t>
            </w:r>
          </w:p>
        </w:tc>
        <w:tc>
          <w:tcPr>
            <w:tcW w:w="3117" w:type="dxa"/>
          </w:tcPr>
          <w:p w:rsidR="006C63CE" w:rsidRPr="00DE350A" w:rsidRDefault="006C63CE" w:rsidP="006C63CE">
            <w:pPr>
              <w:spacing w:before="120" w:after="120"/>
              <w:jc w:val="both"/>
              <w:rPr>
                <w:rFonts w:ascii="Times New Roman" w:hAnsi="Times New Roman" w:cs="Times New Roman"/>
                <w:b/>
                <w:sz w:val="24"/>
                <w:szCs w:val="24"/>
                <w:lang w:val="hu-HU"/>
              </w:rPr>
            </w:pPr>
          </w:p>
        </w:tc>
      </w:tr>
      <w:tr w:rsidR="006C63CE" w:rsidRPr="00A718EC" w:rsidTr="006C63CE">
        <w:tc>
          <w:tcPr>
            <w:tcW w:w="2552" w:type="dxa"/>
          </w:tcPr>
          <w:p w:rsidR="006C63CE" w:rsidRDefault="006C63CE" w:rsidP="006C63CE">
            <w:pPr>
              <w:spacing w:before="120" w:after="120"/>
              <w:jc w:val="both"/>
              <w:rPr>
                <w:rFonts w:ascii="Times New Roman" w:hAnsi="Times New Roman" w:cs="Times New Roman"/>
                <w:sz w:val="24"/>
                <w:szCs w:val="24"/>
                <w:lang w:val="hu-HU"/>
              </w:rPr>
            </w:pPr>
          </w:p>
          <w:p w:rsidR="006C63CE" w:rsidRDefault="006C63CE" w:rsidP="006C63CE">
            <w:pPr>
              <w:spacing w:before="120"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Jóváhagyta: </w:t>
            </w:r>
          </w:p>
          <w:p w:rsidR="006C63CE" w:rsidRPr="00DE350A" w:rsidRDefault="006C63CE" w:rsidP="006C63CE">
            <w:pPr>
              <w:spacing w:before="120" w:after="120"/>
              <w:jc w:val="both"/>
              <w:rPr>
                <w:rFonts w:ascii="Times New Roman" w:hAnsi="Times New Roman" w:cs="Times New Roman"/>
                <w:b/>
                <w:sz w:val="24"/>
                <w:szCs w:val="24"/>
                <w:lang w:val="hu-HU"/>
              </w:rPr>
            </w:pPr>
          </w:p>
        </w:tc>
        <w:tc>
          <w:tcPr>
            <w:tcW w:w="3681" w:type="dxa"/>
          </w:tcPr>
          <w:p w:rsidR="006C63CE" w:rsidRDefault="006C63CE" w:rsidP="006C63CE">
            <w:pPr>
              <w:spacing w:before="120" w:after="120"/>
              <w:jc w:val="both"/>
              <w:rPr>
                <w:rFonts w:ascii="Times New Roman" w:hAnsi="Times New Roman" w:cs="Times New Roman"/>
                <w:b/>
                <w:sz w:val="24"/>
                <w:szCs w:val="24"/>
                <w:lang w:val="hu-HU"/>
              </w:rPr>
            </w:pPr>
          </w:p>
          <w:p w:rsidR="006C63CE"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b/>
                <w:sz w:val="24"/>
                <w:szCs w:val="24"/>
                <w:lang w:val="hu-HU"/>
              </w:rPr>
              <w:t>Dr. Szepesi Ferenc</w:t>
            </w:r>
          </w:p>
          <w:p w:rsidR="006C63CE" w:rsidRPr="00DE350A"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ügyvezető </w:t>
            </w:r>
          </w:p>
        </w:tc>
        <w:tc>
          <w:tcPr>
            <w:tcW w:w="3117" w:type="dxa"/>
          </w:tcPr>
          <w:p w:rsidR="006C63CE" w:rsidRPr="00DE350A" w:rsidRDefault="006C63CE" w:rsidP="006C63CE">
            <w:pPr>
              <w:spacing w:before="120" w:after="120"/>
              <w:jc w:val="both"/>
              <w:rPr>
                <w:rFonts w:ascii="Times New Roman" w:hAnsi="Times New Roman" w:cs="Times New Roman"/>
                <w:b/>
                <w:sz w:val="24"/>
                <w:szCs w:val="24"/>
                <w:lang w:val="hu-HU"/>
              </w:rPr>
            </w:pPr>
          </w:p>
        </w:tc>
      </w:tr>
    </w:tbl>
    <w:p w:rsidR="006C63CE" w:rsidRPr="00DE350A" w:rsidRDefault="006C63CE" w:rsidP="006C63CE">
      <w:pPr>
        <w:jc w:val="both"/>
        <w:rPr>
          <w:rFonts w:ascii="Times New Roman" w:hAnsi="Times New Roman" w:cs="Times New Roman"/>
          <w:i/>
          <w:sz w:val="24"/>
          <w:szCs w:val="24"/>
          <w:lang w:val="hu-HU"/>
        </w:rPr>
      </w:pPr>
    </w:p>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442"/>
        <w:gridCol w:w="3731"/>
      </w:tblGrid>
      <w:tr w:rsidR="006C63CE" w:rsidRPr="00A718EC" w:rsidTr="006C63CE">
        <w:tc>
          <w:tcPr>
            <w:tcW w:w="3187" w:type="dxa"/>
          </w:tcPr>
          <w:p w:rsidR="006C63CE" w:rsidRPr="00DE350A" w:rsidRDefault="006C63CE" w:rsidP="006C63CE">
            <w:pPr>
              <w:spacing w:before="120" w:after="120"/>
              <w:jc w:val="both"/>
              <w:rPr>
                <w:rFonts w:ascii="Times New Roman" w:hAnsi="Times New Roman" w:cs="Times New Roman"/>
                <w:sz w:val="24"/>
                <w:szCs w:val="24"/>
                <w:lang w:val="hu-HU"/>
              </w:rPr>
            </w:pPr>
          </w:p>
        </w:tc>
        <w:tc>
          <w:tcPr>
            <w:tcW w:w="2442" w:type="dxa"/>
          </w:tcPr>
          <w:p w:rsidR="006C63CE" w:rsidRDefault="006C63CE" w:rsidP="006C63CE">
            <w:pPr>
              <w:spacing w:before="120" w:after="120"/>
              <w:rPr>
                <w:rFonts w:ascii="Times New Roman" w:hAnsi="Times New Roman" w:cs="Times New Roman"/>
                <w:b/>
                <w:sz w:val="24"/>
                <w:szCs w:val="24"/>
                <w:lang w:val="hu-HU"/>
              </w:rPr>
            </w:pPr>
          </w:p>
        </w:tc>
        <w:tc>
          <w:tcPr>
            <w:tcW w:w="3731" w:type="dxa"/>
          </w:tcPr>
          <w:p w:rsidR="006C63CE" w:rsidRDefault="006C63CE" w:rsidP="006C63CE">
            <w:pPr>
              <w:spacing w:before="120" w:after="120"/>
              <w:rPr>
                <w:rFonts w:ascii="Times New Roman" w:hAnsi="Times New Roman" w:cs="Times New Roman"/>
                <w:b/>
                <w:sz w:val="24"/>
                <w:szCs w:val="24"/>
                <w:lang w:val="hu-HU"/>
              </w:rPr>
            </w:pPr>
            <w:r>
              <w:rPr>
                <w:rFonts w:ascii="Times New Roman" w:hAnsi="Times New Roman" w:cs="Times New Roman"/>
                <w:b/>
                <w:sz w:val="24"/>
                <w:szCs w:val="24"/>
                <w:lang w:val="hu-HU"/>
              </w:rPr>
              <w:t xml:space="preserve">Cégnév: </w:t>
            </w:r>
          </w:p>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Szepesi Vendéglátóipari Kft. </w:t>
            </w:r>
          </w:p>
          <w:p w:rsidR="006C63CE" w:rsidRDefault="006C63CE" w:rsidP="006C63CE">
            <w:pPr>
              <w:spacing w:before="120" w:after="120"/>
              <w:rPr>
                <w:rFonts w:ascii="Times New Roman" w:hAnsi="Times New Roman" w:cs="Times New Roman"/>
                <w:b/>
                <w:sz w:val="24"/>
                <w:szCs w:val="24"/>
                <w:lang w:val="hu-HU"/>
              </w:rPr>
            </w:pPr>
            <w:r w:rsidRPr="00DE350A">
              <w:rPr>
                <w:rFonts w:ascii="Times New Roman" w:hAnsi="Times New Roman" w:cs="Times New Roman"/>
                <w:b/>
                <w:sz w:val="24"/>
                <w:szCs w:val="24"/>
                <w:lang w:val="hu-HU"/>
              </w:rPr>
              <w:t>székhely</w:t>
            </w:r>
            <w:r>
              <w:rPr>
                <w:rFonts w:ascii="Times New Roman" w:hAnsi="Times New Roman" w:cs="Times New Roman"/>
                <w:b/>
                <w:sz w:val="24"/>
                <w:szCs w:val="24"/>
                <w:lang w:val="hu-HU"/>
              </w:rPr>
              <w:t xml:space="preserve">: </w:t>
            </w:r>
          </w:p>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3412 Bogács, Dózsa György út 16. </w:t>
            </w:r>
          </w:p>
          <w:p w:rsidR="006C63CE" w:rsidRDefault="006C63CE" w:rsidP="006C63CE">
            <w:pPr>
              <w:spacing w:before="120" w:after="120"/>
              <w:rPr>
                <w:rFonts w:ascii="Times New Roman" w:hAnsi="Times New Roman" w:cs="Times New Roman"/>
                <w:b/>
                <w:sz w:val="24"/>
                <w:szCs w:val="24"/>
                <w:lang w:val="hu-HU"/>
              </w:rPr>
            </w:pPr>
            <w:r>
              <w:rPr>
                <w:rFonts w:ascii="Times New Roman" w:hAnsi="Times New Roman" w:cs="Times New Roman"/>
                <w:b/>
                <w:sz w:val="24"/>
                <w:szCs w:val="24"/>
                <w:lang w:val="hu-HU"/>
              </w:rPr>
              <w:t xml:space="preserve">postacím: </w:t>
            </w:r>
          </w:p>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3412 Bogács, Dózsa György út 16. </w:t>
            </w:r>
          </w:p>
          <w:p w:rsidR="006C63CE" w:rsidRDefault="006C63CE" w:rsidP="006C63CE">
            <w:pPr>
              <w:spacing w:before="120" w:after="120"/>
              <w:rPr>
                <w:rFonts w:ascii="Times New Roman" w:hAnsi="Times New Roman" w:cs="Times New Roman"/>
                <w:b/>
                <w:sz w:val="24"/>
                <w:szCs w:val="24"/>
                <w:lang w:val="hu-HU"/>
              </w:rPr>
            </w:pPr>
            <w:r w:rsidRPr="00DE350A">
              <w:rPr>
                <w:rFonts w:ascii="Times New Roman" w:hAnsi="Times New Roman" w:cs="Times New Roman"/>
                <w:b/>
                <w:sz w:val="24"/>
                <w:szCs w:val="24"/>
                <w:lang w:val="hu-HU"/>
              </w:rPr>
              <w:t xml:space="preserve">telefonszám: </w:t>
            </w:r>
          </w:p>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00-36-49-534-029</w:t>
            </w:r>
          </w:p>
          <w:p w:rsidR="006C63CE" w:rsidRPr="00997744" w:rsidRDefault="006C63CE" w:rsidP="006C63CE">
            <w:pPr>
              <w:spacing w:before="120" w:after="120"/>
              <w:rPr>
                <w:rFonts w:ascii="Times New Roman" w:hAnsi="Times New Roman" w:cs="Times New Roman"/>
                <w:b/>
                <w:sz w:val="24"/>
                <w:szCs w:val="24"/>
                <w:lang w:val="hu-HU"/>
              </w:rPr>
            </w:pPr>
            <w:r w:rsidRPr="00997744">
              <w:rPr>
                <w:rFonts w:ascii="Times New Roman" w:hAnsi="Times New Roman" w:cs="Times New Roman"/>
                <w:b/>
                <w:sz w:val="24"/>
                <w:szCs w:val="24"/>
                <w:lang w:val="hu-HU"/>
              </w:rPr>
              <w:t xml:space="preserve">e-mail cím: </w:t>
            </w:r>
          </w:p>
          <w:p w:rsidR="006C63CE" w:rsidRDefault="006C63CE" w:rsidP="006C63CE">
            <w:pPr>
              <w:spacing w:before="120" w:after="120"/>
              <w:rPr>
                <w:rFonts w:ascii="Times New Roman" w:hAnsi="Times New Roman" w:cs="Times New Roman"/>
                <w:b/>
                <w:sz w:val="24"/>
                <w:szCs w:val="24"/>
                <w:lang w:val="hu-HU"/>
              </w:rPr>
            </w:pPr>
            <w:hyperlink r:id="rId7" w:history="1">
              <w:r w:rsidRPr="00E9285E">
                <w:rPr>
                  <w:rStyle w:val="Hiperhivatkozs"/>
                  <w:rFonts w:ascii="Times New Roman" w:hAnsi="Times New Roman" w:cs="Times New Roman"/>
                  <w:b/>
                  <w:sz w:val="24"/>
                  <w:szCs w:val="24"/>
                  <w:lang w:val="hu-HU"/>
                </w:rPr>
                <w:t>recepcio@strandhotel.hu</w:t>
              </w:r>
            </w:hyperlink>
          </w:p>
          <w:p w:rsidR="006C63CE" w:rsidRPr="00997744" w:rsidRDefault="006C63CE" w:rsidP="006C63CE">
            <w:pPr>
              <w:spacing w:before="120" w:after="120"/>
              <w:rPr>
                <w:rFonts w:ascii="Times New Roman" w:hAnsi="Times New Roman" w:cs="Times New Roman"/>
                <w:b/>
                <w:sz w:val="24"/>
                <w:szCs w:val="24"/>
                <w:lang w:val="hu-HU"/>
              </w:rPr>
            </w:pPr>
            <w:r w:rsidRPr="00997744">
              <w:rPr>
                <w:rFonts w:ascii="Times New Roman" w:hAnsi="Times New Roman" w:cs="Times New Roman"/>
                <w:b/>
                <w:sz w:val="24"/>
                <w:szCs w:val="24"/>
                <w:lang w:val="hu-HU"/>
              </w:rPr>
              <w:t xml:space="preserve">weboldal: </w:t>
            </w:r>
          </w:p>
          <w:p w:rsidR="006C63CE" w:rsidRPr="00DE350A" w:rsidRDefault="006C63CE" w:rsidP="006C63CE">
            <w:pPr>
              <w:spacing w:before="120" w:after="120"/>
              <w:rPr>
                <w:rFonts w:ascii="Times New Roman" w:hAnsi="Times New Roman" w:cs="Times New Roman"/>
                <w:b/>
                <w:sz w:val="24"/>
                <w:szCs w:val="24"/>
                <w:lang w:val="hu-HU"/>
              </w:rPr>
            </w:pPr>
            <w:r>
              <w:rPr>
                <w:rFonts w:ascii="Times New Roman" w:hAnsi="Times New Roman" w:cs="Times New Roman"/>
                <w:b/>
                <w:sz w:val="24"/>
                <w:szCs w:val="24"/>
                <w:lang w:val="hu-HU"/>
              </w:rPr>
              <w:t>www.strandhotel.hu</w:t>
            </w:r>
          </w:p>
        </w:tc>
      </w:tr>
    </w:tbl>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sectPr w:rsidR="006C63CE" w:rsidRPr="00DE350A" w:rsidSect="006C63CE">
          <w:footerReference w:type="default" r:id="rId8"/>
          <w:pgSz w:w="12240" w:h="15840"/>
          <w:pgMar w:top="1440" w:right="1440" w:bottom="1440" w:left="1440" w:header="720" w:footer="720" w:gutter="0"/>
          <w:cols w:space="720"/>
          <w:titlePg/>
          <w:docGrid w:linePitch="360"/>
        </w:sectPr>
      </w:pPr>
    </w:p>
    <w:sdt>
      <w:sdtPr>
        <w:rPr>
          <w:rFonts w:ascii="Times New Roman" w:eastAsiaTheme="minorHAnsi" w:hAnsi="Times New Roman" w:cs="Times New Roman"/>
          <w:color w:val="auto"/>
          <w:sz w:val="24"/>
          <w:szCs w:val="24"/>
          <w:lang w:val="hu-HU"/>
        </w:rPr>
        <w:id w:val="-93172014"/>
        <w:docPartObj>
          <w:docPartGallery w:val="Table of Contents"/>
          <w:docPartUnique/>
        </w:docPartObj>
      </w:sdtPr>
      <w:sdtEndPr>
        <w:rPr>
          <w:noProof/>
        </w:rPr>
      </w:sdtEndPr>
      <w:sdtContent>
        <w:p w:rsidR="006C63CE" w:rsidRPr="00DE350A" w:rsidRDefault="006C63CE" w:rsidP="006C63CE">
          <w:pPr>
            <w:pStyle w:val="Tartalomjegyzkcmsora"/>
            <w:spacing w:after="240"/>
            <w:jc w:val="both"/>
            <w:rPr>
              <w:rFonts w:ascii="Times New Roman" w:hAnsi="Times New Roman" w:cs="Times New Roman"/>
              <w:b/>
              <w:color w:val="auto"/>
              <w:sz w:val="24"/>
              <w:szCs w:val="24"/>
              <w:lang w:val="hu-HU"/>
            </w:rPr>
          </w:pPr>
          <w:r w:rsidRPr="00DE350A">
            <w:rPr>
              <w:rFonts w:ascii="Times New Roman" w:hAnsi="Times New Roman" w:cs="Times New Roman"/>
              <w:b/>
              <w:color w:val="auto"/>
              <w:sz w:val="24"/>
              <w:szCs w:val="24"/>
              <w:lang w:val="hu-HU"/>
            </w:rPr>
            <w:t>Tartalomjegyzék</w:t>
          </w:r>
        </w:p>
        <w:p w:rsidR="006C63CE" w:rsidRPr="00DE350A" w:rsidRDefault="006C63CE" w:rsidP="006C63CE">
          <w:pPr>
            <w:pStyle w:val="TJ1"/>
            <w:rPr>
              <w:rFonts w:ascii="Times New Roman" w:eastAsiaTheme="minorEastAsia" w:hAnsi="Times New Roman" w:cs="Times New Roman"/>
              <w:noProof/>
              <w:sz w:val="24"/>
              <w:szCs w:val="24"/>
            </w:rPr>
          </w:pPr>
          <w:r w:rsidRPr="00DE350A">
            <w:rPr>
              <w:rFonts w:ascii="Times New Roman" w:hAnsi="Times New Roman" w:cs="Times New Roman"/>
              <w:sz w:val="24"/>
              <w:szCs w:val="24"/>
              <w:lang w:val="hu-HU"/>
            </w:rPr>
            <w:fldChar w:fldCharType="begin"/>
          </w:r>
          <w:r w:rsidRPr="00DE350A">
            <w:rPr>
              <w:rFonts w:ascii="Times New Roman" w:hAnsi="Times New Roman" w:cs="Times New Roman"/>
              <w:sz w:val="24"/>
              <w:szCs w:val="24"/>
              <w:lang w:val="hu-HU"/>
            </w:rPr>
            <w:instrText xml:space="preserve"> TOC \o "1-3" \h \z \u </w:instrText>
          </w:r>
          <w:r w:rsidRPr="00DE350A">
            <w:rPr>
              <w:rFonts w:ascii="Times New Roman" w:hAnsi="Times New Roman" w:cs="Times New Roman"/>
              <w:sz w:val="24"/>
              <w:szCs w:val="24"/>
              <w:lang w:val="hu-HU"/>
            </w:rPr>
            <w:fldChar w:fldCharType="separate"/>
          </w:r>
          <w:hyperlink w:anchor="_Toc510709461" w:history="1">
            <w:r w:rsidRPr="00DE350A">
              <w:rPr>
                <w:rStyle w:val="Hiperhivatkozs"/>
                <w:rFonts w:ascii="Times New Roman" w:hAnsi="Times New Roman" w:cs="Times New Roman"/>
                <w:noProof/>
                <w:color w:val="auto"/>
                <w:sz w:val="24"/>
                <w:szCs w:val="24"/>
                <w:lang w:val="hu-HU"/>
              </w:rPr>
              <w:t>Értelmező rendelkezések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_Toc510709461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5</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462" w:history="1">
            <w:r w:rsidRPr="00DE350A">
              <w:rPr>
                <w:rStyle w:val="Hiperhivatkozs"/>
                <w:rFonts w:ascii="Times New Roman" w:hAnsi="Times New Roman" w:cs="Times New Roman"/>
                <w:noProof/>
                <w:color w:val="auto"/>
                <w:sz w:val="24"/>
                <w:szCs w:val="24"/>
                <w:lang w:val="hu-HU"/>
                <w14:scene3d>
                  <w14:camera w14:prst="orthographicFront"/>
                  <w14:lightRig w14:rig="threePt" w14:dir="t">
                    <w14:rot w14:lat="0" w14:lon="0" w14:rev="0"/>
                  </w14:lightRig>
                </w14:scene3d>
              </w:rPr>
              <w:t>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 szabályzat célja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_Toc510709462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8</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463" w:history="1">
            <w:r w:rsidRPr="00DE350A">
              <w:rPr>
                <w:rStyle w:val="Hiperhivatkozs"/>
                <w:rFonts w:ascii="Times New Roman" w:hAnsi="Times New Roman" w:cs="Times New Roman"/>
                <w:noProof/>
                <w:color w:val="auto"/>
                <w:sz w:val="24"/>
                <w:szCs w:val="24"/>
                <w:lang w:val="hu-HU"/>
                <w14:scene3d>
                  <w14:camera w14:prst="orthographicFront"/>
                  <w14:lightRig w14:rig="threePt" w14:dir="t">
                    <w14:rot w14:lat="0" w14:lon="0" w14:rev="0"/>
                  </w14:lightRig>
                </w14:scene3d>
              </w:rPr>
              <w:t>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Adatkezelési alapelvek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_Toc510709463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8</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464" w:history="1">
            <w:r w:rsidRPr="00DE350A">
              <w:rPr>
                <w:rStyle w:val="Hiperhivatkozs"/>
                <w:rFonts w:ascii="Times New Roman" w:hAnsi="Times New Roman" w:cs="Times New Roman"/>
                <w:noProof/>
                <w:color w:val="auto"/>
                <w:sz w:val="24"/>
                <w:szCs w:val="24"/>
                <w:lang w:val="hu-HU"/>
                <w14:scene3d>
                  <w14:camera w14:prst="orthographicFront"/>
                  <w14:lightRig w14:rig="threePt" w14:dir="t">
                    <w14:rot w14:lat="0" w14:lon="0" w14:rev="0"/>
                  </w14:lightRig>
                </w14:scene3d>
              </w:rPr>
              <w:t>3</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Az adatkezelés jogszerűsége</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_Toc510709464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9</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465" w:history="1">
            <w:r w:rsidRPr="00DE350A">
              <w:rPr>
                <w:rStyle w:val="Hiperhivatkozs"/>
                <w:rFonts w:ascii="Times New Roman" w:hAnsi="Times New Roman" w:cs="Times New Roman"/>
                <w:noProof/>
                <w:color w:val="auto"/>
                <w:sz w:val="24"/>
                <w:szCs w:val="24"/>
                <w14:scene3d>
                  <w14:camera w14:prst="orthographicFront"/>
                  <w14:lightRig w14:rig="threePt" w14:dir="t">
                    <w14:rot w14:lat="0" w14:lon="0" w14:rev="0"/>
                  </w14:lightRig>
                </w14:scene3d>
              </w:rPr>
              <w:t>3.1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Személyes adatok, a különleges adatok kivételével</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_Toc510709465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9</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466" w:history="1">
            <w:r w:rsidRPr="00DE350A">
              <w:rPr>
                <w:rStyle w:val="Hiperhivatkozs"/>
                <w:rFonts w:ascii="Times New Roman" w:hAnsi="Times New Roman" w:cs="Times New Roman"/>
                <w:noProof/>
                <w:color w:val="auto"/>
                <w:sz w:val="24"/>
                <w:szCs w:val="24"/>
                <w14:scene3d>
                  <w14:camera w14:prst="orthographicFront"/>
                  <w14:lightRig w14:rig="threePt" w14:dir="t">
                    <w14:rot w14:lat="0" w14:lon="0" w14:rev="0"/>
                  </w14:lightRig>
                </w14:scene3d>
              </w:rPr>
              <w:t>3.2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Különleges adatok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_Toc510709466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10</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467" w:history="1">
            <w:r w:rsidRPr="00DE350A">
              <w:rPr>
                <w:rStyle w:val="Hiperhivatkozs"/>
                <w:rFonts w:ascii="Times New Roman" w:hAnsi="Times New Roman" w:cs="Times New Roman"/>
                <w:noProof/>
                <w:color w:val="auto"/>
                <w:sz w:val="24"/>
                <w:szCs w:val="24"/>
                <w:lang w:val="hu-HU"/>
                <w14:scene3d>
                  <w14:camera w14:prst="orthographicFront"/>
                  <w14:lightRig w14:rig="threePt" w14:dir="t">
                    <w14:rot w14:lat="0" w14:lon="0" w14:rev="0"/>
                  </w14:lightRig>
                </w14:scene3d>
              </w:rPr>
              <w:t>4</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 Vállalkozás tájékoztatási kötelezettsége és intézkedései</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_Toc510709467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10</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468" w:history="1">
            <w:r w:rsidRPr="00DE350A">
              <w:rPr>
                <w:rStyle w:val="Hiperhivatkozs"/>
                <w:rFonts w:ascii="Times New Roman" w:hAnsi="Times New Roman" w:cs="Times New Roman"/>
                <w:noProof/>
                <w:color w:val="auto"/>
                <w:sz w:val="24"/>
                <w:szCs w:val="24"/>
                <w14:scene3d>
                  <w14:camera w14:prst="orthographicFront"/>
                  <w14:lightRig w14:rig="threePt" w14:dir="t">
                    <w14:rot w14:lat="0" w14:lon="0" w14:rev="0"/>
                  </w14:lightRig>
                </w14:scene3d>
              </w:rPr>
              <w:t>4.1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Adatkezelési tájékoztató</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_Toc510709468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69" w:history="1">
            <w:r w:rsidRPr="00DE350A">
              <w:rPr>
                <w:rStyle w:val="Hiperhivatkozs"/>
                <w:rFonts w:ascii="Times New Roman" w:hAnsi="Times New Roman" w:cs="Times New Roman"/>
                <w:noProof/>
                <w:color w:val="auto"/>
                <w:sz w:val="24"/>
                <w:szCs w:val="24"/>
              </w:rPr>
              <w:t>4.1.1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Közös szabályok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_Toc510709469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70" w:history="1">
            <w:r w:rsidRPr="00DE350A">
              <w:rPr>
                <w:rStyle w:val="Hiperhivatkozs"/>
                <w:rFonts w:ascii="Times New Roman" w:hAnsi="Times New Roman" w:cs="Times New Roman"/>
                <w:noProof/>
                <w:color w:val="auto"/>
                <w:sz w:val="24"/>
                <w:szCs w:val="24"/>
              </w:rPr>
              <w:t>4.1.2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Rendelkezésre bocsátandó információk, ha az adatokat az Érintettől gyűjtik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_Toc510709470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71" w:history="1">
            <w:r w:rsidRPr="00DE350A">
              <w:rPr>
                <w:rStyle w:val="Hiperhivatkozs"/>
                <w:rFonts w:ascii="Times New Roman" w:hAnsi="Times New Roman" w:cs="Times New Roman"/>
                <w:noProof/>
                <w:color w:val="auto"/>
                <w:sz w:val="24"/>
                <w:szCs w:val="24"/>
              </w:rPr>
              <w:t>4.1.3</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Rendelkezésre bocsátandó információk, ha az adatokat nem az Érintettől gyűjtik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_Toc510709471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12</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472" w:history="1">
            <w:r w:rsidRPr="00DE350A">
              <w:rPr>
                <w:rStyle w:val="Hiperhivatkozs"/>
                <w:rFonts w:ascii="Times New Roman" w:hAnsi="Times New Roman" w:cs="Times New Roman"/>
                <w:noProof/>
                <w:color w:val="auto"/>
                <w:sz w:val="24"/>
                <w:szCs w:val="24"/>
                <w14:scene3d>
                  <w14:camera w14:prst="orthographicFront"/>
                  <w14:lightRig w14:rig="threePt" w14:dir="t">
                    <w14:rot w14:lat="0" w14:lon="0" w14:rev="0"/>
                  </w14:lightRig>
                </w14:scene3d>
              </w:rPr>
              <w:t>4.2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Érintetti jogok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_Toc510709472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12</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73" w:history="1">
            <w:r w:rsidRPr="00DE350A">
              <w:rPr>
                <w:rStyle w:val="Hiperhivatkozs"/>
                <w:rFonts w:ascii="Times New Roman" w:hAnsi="Times New Roman" w:cs="Times New Roman"/>
                <w:noProof/>
                <w:color w:val="auto"/>
                <w:sz w:val="24"/>
                <w:szCs w:val="24"/>
              </w:rPr>
              <w:t>4.2.1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hozzáféréshez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_Toc510709473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13</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74" w:history="1">
            <w:r w:rsidRPr="00DE350A">
              <w:rPr>
                <w:rStyle w:val="Hiperhivatkozs"/>
                <w:rFonts w:ascii="Times New Roman" w:hAnsi="Times New Roman" w:cs="Times New Roman"/>
                <w:noProof/>
                <w:color w:val="auto"/>
                <w:sz w:val="24"/>
                <w:szCs w:val="24"/>
              </w:rPr>
              <w:t>4.2.2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helyesbítéshez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_Toc510709474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75" w:history="1">
            <w:r w:rsidRPr="00DE350A">
              <w:rPr>
                <w:rStyle w:val="Hiperhivatkozs"/>
                <w:rFonts w:ascii="Times New Roman" w:hAnsi="Times New Roman" w:cs="Times New Roman"/>
                <w:noProof/>
                <w:color w:val="auto"/>
                <w:sz w:val="24"/>
                <w:szCs w:val="24"/>
              </w:rPr>
              <w:t>4.2.3</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törléshez való jog („az elfeledtetéshez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_Toc510709475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78" w:history="1">
            <w:r w:rsidRPr="00DE350A">
              <w:rPr>
                <w:rStyle w:val="Hiperhivatkozs"/>
                <w:rFonts w:ascii="Times New Roman" w:hAnsi="Times New Roman" w:cs="Times New Roman"/>
                <w:noProof/>
                <w:color w:val="auto"/>
                <w:sz w:val="24"/>
                <w:szCs w:val="24"/>
              </w:rPr>
              <w:t>4.2.4</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Az adatkezelés korlátozásához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_Toc510709478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15</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0" w:history="1">
            <w:r w:rsidRPr="00DE350A">
              <w:rPr>
                <w:rStyle w:val="Hiperhivatkozs"/>
                <w:rFonts w:ascii="Times New Roman" w:hAnsi="Times New Roman" w:cs="Times New Roman"/>
                <w:noProof/>
                <w:color w:val="auto"/>
                <w:sz w:val="24"/>
                <w:szCs w:val="24"/>
              </w:rPr>
              <w:t>4.2.5</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tiltakozáshoz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_Toc510709480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16</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1" w:history="1">
            <w:r w:rsidRPr="00DE350A">
              <w:rPr>
                <w:rStyle w:val="Hiperhivatkozs"/>
                <w:rFonts w:ascii="Times New Roman" w:hAnsi="Times New Roman" w:cs="Times New Roman"/>
                <w:noProof/>
                <w:color w:val="auto"/>
                <w:sz w:val="24"/>
                <w:szCs w:val="24"/>
              </w:rPr>
              <w:t>4.2.5.1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tiltakozáshoz való jog közvetlen üzletszerzés esetén</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_Toc510709481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16</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2" w:history="1">
            <w:r w:rsidRPr="00DE350A">
              <w:rPr>
                <w:rStyle w:val="Hiperhivatkozs"/>
                <w:rFonts w:ascii="Times New Roman" w:hAnsi="Times New Roman" w:cs="Times New Roman"/>
                <w:noProof/>
                <w:color w:val="auto"/>
                <w:sz w:val="24"/>
                <w:szCs w:val="24"/>
              </w:rPr>
              <w:t>4.2.5.2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Profilalkotás</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_Toc510709482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16</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3" w:history="1">
            <w:r w:rsidRPr="00DE350A">
              <w:rPr>
                <w:rStyle w:val="Hiperhivatkozs"/>
                <w:rFonts w:ascii="Times New Roman" w:hAnsi="Times New Roman" w:cs="Times New Roman"/>
                <w:noProof/>
                <w:color w:val="auto"/>
                <w:sz w:val="24"/>
                <w:szCs w:val="24"/>
              </w:rPr>
              <w:t>4.2.6</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Az adathordozhatósághoz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_Toc510709483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17</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5" w:history="1">
            <w:r w:rsidRPr="00DE350A">
              <w:rPr>
                <w:rStyle w:val="Hiperhivatkozs"/>
                <w:rFonts w:ascii="Times New Roman" w:hAnsi="Times New Roman" w:cs="Times New Roman"/>
                <w:noProof/>
                <w:color w:val="auto"/>
                <w:sz w:val="24"/>
                <w:szCs w:val="24"/>
              </w:rPr>
              <w:t>4.2.7</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Egyedi ügyekben alkalmazott automatizált döntéshozatalról való döntés joga, beleértve a profilalkotást</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_Toc510709485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17</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6" w:history="1">
            <w:r w:rsidRPr="00DE350A">
              <w:rPr>
                <w:rStyle w:val="Hiperhivatkozs"/>
                <w:rFonts w:ascii="Times New Roman" w:hAnsi="Times New Roman" w:cs="Times New Roman"/>
                <w:noProof/>
                <w:color w:val="auto"/>
                <w:sz w:val="24"/>
                <w:szCs w:val="24"/>
              </w:rPr>
              <w:t>4.2.8</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Jogorvoslathoz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_Toc510709486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18</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89" w:history="1">
            <w:r w:rsidRPr="00DE350A">
              <w:rPr>
                <w:rStyle w:val="Hiperhivatkozs"/>
                <w:rFonts w:ascii="Times New Roman" w:hAnsi="Times New Roman" w:cs="Times New Roman"/>
                <w:noProof/>
                <w:color w:val="auto"/>
                <w:sz w:val="24"/>
                <w:szCs w:val="24"/>
              </w:rPr>
              <w:t>4.2.8.1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Panasztételhez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_Toc510709489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18</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tabs>
              <w:tab w:val="clear" w:pos="1276"/>
            </w:tabs>
            <w:rPr>
              <w:rFonts w:ascii="Times New Roman" w:eastAsiaTheme="minorEastAsia" w:hAnsi="Times New Roman" w:cs="Times New Roman"/>
              <w:noProof/>
              <w:sz w:val="24"/>
              <w:szCs w:val="24"/>
            </w:rPr>
          </w:pPr>
          <w:hyperlink w:anchor="_Toc510709490" w:history="1">
            <w:r w:rsidRPr="00DE350A">
              <w:rPr>
                <w:rStyle w:val="Hiperhivatkozs"/>
                <w:rFonts w:ascii="Times New Roman" w:hAnsi="Times New Roman" w:cs="Times New Roman"/>
                <w:noProof/>
                <w:color w:val="auto"/>
                <w:sz w:val="24"/>
                <w:szCs w:val="24"/>
              </w:rPr>
              <w:t>4.2.8.2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Felügyeleti hatóság határozatának bírósági felülvizsgálata, ill. egyéb jogorvoslati lehetőség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_Toc510709490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18</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91" w:history="1">
            <w:r w:rsidRPr="00DE350A">
              <w:rPr>
                <w:rStyle w:val="Hiperhivatkozs"/>
                <w:rFonts w:ascii="Times New Roman" w:hAnsi="Times New Roman" w:cs="Times New Roman"/>
                <w:noProof/>
                <w:color w:val="auto"/>
                <w:sz w:val="24"/>
                <w:szCs w:val="24"/>
              </w:rPr>
              <w:t>4.2.8.3</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bírósághoz fordulás joga (keresetindítási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_Toc510709491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19</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92" w:history="1">
            <w:r w:rsidRPr="00DE350A">
              <w:rPr>
                <w:rStyle w:val="Hiperhivatkozs"/>
                <w:rFonts w:ascii="Times New Roman" w:hAnsi="Times New Roman" w:cs="Times New Roman"/>
                <w:noProof/>
                <w:color w:val="auto"/>
                <w:sz w:val="24"/>
                <w:szCs w:val="24"/>
              </w:rPr>
              <w:t>4.2.8.4</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Egyéb igényérvényesítési lehetőség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_Toc510709492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19</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493" w:history="1">
            <w:r w:rsidRPr="00DE350A">
              <w:rPr>
                <w:rStyle w:val="Hiperhivatkozs"/>
                <w:rFonts w:ascii="Times New Roman" w:hAnsi="Times New Roman" w:cs="Times New Roman"/>
                <w:noProof/>
                <w:color w:val="auto"/>
                <w:sz w:val="24"/>
                <w:szCs w:val="24"/>
              </w:rPr>
              <w:t>4.2.8.5</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Kártérítéshez való jog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_Toc510709493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19</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500" w:history="1">
            <w:r w:rsidRPr="00DE350A">
              <w:rPr>
                <w:rStyle w:val="Hiperhivatkozs"/>
                <w:rFonts w:ascii="Times New Roman" w:hAnsi="Times New Roman" w:cs="Times New Roman"/>
                <w:noProof/>
                <w:color w:val="auto"/>
                <w:sz w:val="24"/>
                <w:szCs w:val="24"/>
              </w:rPr>
              <w:t>4.2.8.6</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Közigazgatási bírság</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_Toc510709500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19</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504" w:history="1">
            <w:r w:rsidRPr="00DE350A">
              <w:rPr>
                <w:rStyle w:val="Hiperhivatkozs"/>
                <w:rFonts w:ascii="Times New Roman" w:hAnsi="Times New Roman" w:cs="Times New Roman"/>
                <w:noProof/>
                <w:color w:val="auto"/>
                <w:sz w:val="24"/>
                <w:szCs w:val="24"/>
              </w:rPr>
              <w:t>4.2.8.7</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Büntetőjogi és/vagy közigazgatási szankció</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_Toc510709504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20</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507" w:history="1">
            <w:r w:rsidRPr="00DE350A">
              <w:rPr>
                <w:rStyle w:val="Hiperhivatkozs"/>
                <w:rFonts w:ascii="Times New Roman" w:hAnsi="Times New Roman" w:cs="Times New Roman"/>
                <w:noProof/>
                <w:color w:val="auto"/>
                <w:sz w:val="24"/>
                <w:szCs w:val="24"/>
              </w:rPr>
              <w:t>4.3</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Eljárási szabályok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_Toc510709507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20</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508" w:history="1">
            <w:r w:rsidRPr="00DE350A">
              <w:rPr>
                <w:rStyle w:val="Hiperhivatkozs"/>
                <w:rFonts w:ascii="Times New Roman" w:hAnsi="Times New Roman" w:cs="Times New Roman"/>
                <w:noProof/>
                <w:color w:val="auto"/>
                <w:sz w:val="24"/>
                <w:szCs w:val="24"/>
              </w:rPr>
              <w:t>4.3.1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kérelem elbírálása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_Toc510709508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20</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510" w:history="1">
            <w:r w:rsidRPr="00DE350A">
              <w:rPr>
                <w:rStyle w:val="Hiperhivatkozs"/>
                <w:rFonts w:ascii="Times New Roman" w:hAnsi="Times New Roman" w:cs="Times New Roman"/>
                <w:noProof/>
                <w:color w:val="auto"/>
                <w:sz w:val="24"/>
                <w:szCs w:val="24"/>
              </w:rPr>
              <w:t>4.3.2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 szolgáltatott információ, a nyújtott tájékoztatás és a megtett intézkedés díja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_Toc510709510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20</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3"/>
            <w:rPr>
              <w:rFonts w:ascii="Times New Roman" w:eastAsiaTheme="minorEastAsia" w:hAnsi="Times New Roman" w:cs="Times New Roman"/>
              <w:noProof/>
              <w:sz w:val="24"/>
              <w:szCs w:val="24"/>
            </w:rPr>
          </w:pPr>
          <w:hyperlink w:anchor="_Toc510709511" w:history="1">
            <w:r w:rsidRPr="00DE350A">
              <w:rPr>
                <w:rStyle w:val="Hiperhivatkozs"/>
                <w:rFonts w:ascii="Times New Roman" w:hAnsi="Times New Roman" w:cs="Times New Roman"/>
                <w:noProof/>
                <w:color w:val="auto"/>
                <w:sz w:val="24"/>
                <w:szCs w:val="24"/>
              </w:rPr>
              <w:t>4.3.3</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Kérelmező személyazonosságának vizsgálata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_Toc510709511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12" w:history="1">
            <w:r w:rsidRPr="00DE350A">
              <w:rPr>
                <w:rStyle w:val="Hiperhivatkozs"/>
                <w:rFonts w:ascii="Times New Roman" w:hAnsi="Times New Roman" w:cs="Times New Roman"/>
                <w:caps/>
                <w:noProof/>
                <w:color w:val="auto"/>
                <w:sz w:val="24"/>
                <w:szCs w:val="24"/>
                <w:lang w:val="hu-HU"/>
              </w:rPr>
              <w:t>5</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Adattovábbítás</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_Toc510709512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13" w:history="1">
            <w:r w:rsidRPr="00DE350A">
              <w:rPr>
                <w:rStyle w:val="Hiperhivatkozs"/>
                <w:rFonts w:ascii="Times New Roman" w:hAnsi="Times New Roman" w:cs="Times New Roman"/>
                <w:noProof/>
                <w:color w:val="auto"/>
                <w:sz w:val="24"/>
                <w:szCs w:val="24"/>
                <w:lang w:val="hu-HU"/>
              </w:rPr>
              <w:t>6</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Adatvédelmi incidens</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_Toc510709513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514" w:history="1">
            <w:r w:rsidRPr="00DE350A">
              <w:rPr>
                <w:rStyle w:val="Hiperhivatkozs"/>
                <w:rFonts w:ascii="Times New Roman" w:hAnsi="Times New Roman" w:cs="Times New Roman"/>
                <w:noProof/>
                <w:color w:val="auto"/>
                <w:sz w:val="24"/>
                <w:szCs w:val="24"/>
              </w:rPr>
              <w:t>6.1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Bejelentés a felügyeleti hatósághoz</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_Toc510709514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21</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515" w:history="1">
            <w:r w:rsidRPr="00DE350A">
              <w:rPr>
                <w:rStyle w:val="Hiperhivatkozs"/>
                <w:rFonts w:ascii="Times New Roman" w:hAnsi="Times New Roman" w:cs="Times New Roman"/>
                <w:noProof/>
                <w:color w:val="auto"/>
                <w:sz w:val="24"/>
                <w:szCs w:val="24"/>
              </w:rPr>
              <w:t>6.2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Az Érintett tájékoztatása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_Toc510709515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22</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16" w:history="1">
            <w:r w:rsidRPr="00DE350A">
              <w:rPr>
                <w:rStyle w:val="Hiperhivatkozs"/>
                <w:rFonts w:ascii="Times New Roman" w:hAnsi="Times New Roman" w:cs="Times New Roman"/>
                <w:noProof/>
                <w:color w:val="auto"/>
                <w:sz w:val="24"/>
                <w:szCs w:val="24"/>
                <w:lang w:val="hu-HU"/>
              </w:rPr>
              <w:t>7</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Adatkezelési nyilvántartások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_Toc510709516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23</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517" w:history="1">
            <w:r w:rsidRPr="00DE350A">
              <w:rPr>
                <w:rStyle w:val="Hiperhivatkozs"/>
                <w:rFonts w:ascii="Times New Roman" w:hAnsi="Times New Roman" w:cs="Times New Roman"/>
                <w:noProof/>
                <w:color w:val="auto"/>
                <w:sz w:val="24"/>
                <w:szCs w:val="24"/>
              </w:rPr>
              <w:t>7.1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Adatkezelési tevékenységek nyilvántartása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_Toc510709517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23</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2"/>
            <w:rPr>
              <w:rFonts w:ascii="Times New Roman" w:eastAsiaTheme="minorEastAsia" w:hAnsi="Times New Roman" w:cs="Times New Roman"/>
              <w:noProof/>
              <w:sz w:val="24"/>
              <w:szCs w:val="24"/>
            </w:rPr>
          </w:pPr>
          <w:hyperlink w:anchor="_Toc510709518" w:history="1">
            <w:r w:rsidRPr="00DE350A">
              <w:rPr>
                <w:rStyle w:val="Hiperhivatkozs"/>
                <w:rFonts w:ascii="Times New Roman" w:hAnsi="Times New Roman" w:cs="Times New Roman"/>
                <w:noProof/>
                <w:color w:val="auto"/>
                <w:sz w:val="24"/>
                <w:szCs w:val="24"/>
              </w:rPr>
              <w:t>7.2</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rPr>
              <w:t>Adatvédelmi incidensek nyilvántartása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_Toc510709518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p>
        <w:p w:rsidR="006C63CE" w:rsidRPr="00DE350A" w:rsidRDefault="006C63CE" w:rsidP="006C63CE">
          <w:pPr>
            <w:pStyle w:val="TJ1"/>
            <w:rPr>
              <w:rFonts w:ascii="Times New Roman" w:eastAsiaTheme="minorEastAsia" w:hAnsi="Times New Roman" w:cs="Times New Roman"/>
              <w:noProof/>
              <w:sz w:val="24"/>
              <w:szCs w:val="24"/>
            </w:rPr>
          </w:pPr>
          <w:hyperlink w:anchor="_Toc510709520" w:history="1">
            <w:r w:rsidR="00D7126E">
              <w:rPr>
                <w:rStyle w:val="Hiperhivatkozs"/>
                <w:rFonts w:ascii="Times New Roman" w:hAnsi="Times New Roman" w:cs="Times New Roman"/>
                <w:noProof/>
                <w:color w:val="auto"/>
                <w:sz w:val="24"/>
                <w:szCs w:val="24"/>
                <w:lang w:val="hu-HU"/>
              </w:rPr>
              <w:t>8</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Adatvédelmi hatásvizsgálat</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_Toc510709520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21" w:history="1">
            <w:r w:rsidR="00D7126E">
              <w:rPr>
                <w:rStyle w:val="Hiperhivatkozs"/>
                <w:rFonts w:ascii="Times New Roman" w:hAnsi="Times New Roman" w:cs="Times New Roman"/>
                <w:noProof/>
                <w:color w:val="auto"/>
                <w:sz w:val="24"/>
                <w:szCs w:val="24"/>
                <w:lang w:val="hu-HU"/>
              </w:rPr>
              <w:t>9</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Oktatás</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_Toc510709521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23" w:history="1">
            <w:r w:rsidR="00D7126E">
              <w:rPr>
                <w:rStyle w:val="Hiperhivatkozs"/>
                <w:rFonts w:ascii="Times New Roman" w:hAnsi="Times New Roman" w:cs="Times New Roman"/>
                <w:noProof/>
                <w:color w:val="auto"/>
                <w:sz w:val="24"/>
                <w:szCs w:val="24"/>
                <w:lang w:val="hu-HU"/>
              </w:rPr>
              <w:t>10</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Adatkezelés biztonsága</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_Toc510709523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24" w:history="1">
            <w:r w:rsidR="00D7126E">
              <w:rPr>
                <w:rStyle w:val="Hiperhivatkozs"/>
                <w:rFonts w:ascii="Times New Roman" w:hAnsi="Times New Roman" w:cs="Times New Roman"/>
                <w:noProof/>
                <w:color w:val="auto"/>
                <w:sz w:val="24"/>
                <w:szCs w:val="24"/>
                <w:lang w:val="hu-HU"/>
              </w:rPr>
              <w:t>11</w:t>
            </w:r>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Egyéb rendelkezések</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_Toc510709524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24</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eastAsiaTheme="minorEastAsia" w:hAnsi="Times New Roman" w:cs="Times New Roman"/>
              <w:noProof/>
              <w:sz w:val="24"/>
              <w:szCs w:val="24"/>
            </w:rPr>
          </w:pPr>
          <w:hyperlink w:anchor="_Toc510709525" w:history="1">
            <w:r w:rsidR="00D7126E">
              <w:rPr>
                <w:rStyle w:val="Hiperhivatkozs"/>
                <w:rFonts w:ascii="Times New Roman" w:hAnsi="Times New Roman" w:cs="Times New Roman"/>
                <w:noProof/>
                <w:color w:val="auto"/>
                <w:sz w:val="24"/>
                <w:szCs w:val="24"/>
                <w:lang w:val="hu-HU"/>
              </w:rPr>
              <w:t>12</w:t>
            </w:r>
            <w:bookmarkStart w:id="0" w:name="_GoBack"/>
            <w:bookmarkEnd w:id="0"/>
            <w:r w:rsidRPr="00DE350A">
              <w:rPr>
                <w:rFonts w:ascii="Times New Roman" w:eastAsiaTheme="minorEastAsia" w:hAnsi="Times New Roman" w:cs="Times New Roman"/>
                <w:noProof/>
                <w:sz w:val="24"/>
                <w:szCs w:val="24"/>
              </w:rPr>
              <w:tab/>
            </w:r>
            <w:r w:rsidRPr="00DE350A">
              <w:rPr>
                <w:rStyle w:val="Hiperhivatkozs"/>
                <w:rFonts w:ascii="Times New Roman" w:hAnsi="Times New Roman" w:cs="Times New Roman"/>
                <w:noProof/>
                <w:color w:val="auto"/>
                <w:sz w:val="24"/>
                <w:szCs w:val="24"/>
                <w:lang w:val="hu-HU"/>
              </w:rPr>
              <w:t>Hatály és felülvizsgálati rend</w:t>
            </w:r>
            <w:r w:rsidRPr="00DE350A">
              <w:rPr>
                <w:rFonts w:ascii="Times New Roman" w:hAnsi="Times New Roman" w:cs="Times New Roman"/>
                <w:noProof/>
                <w:webHidden/>
                <w:sz w:val="24"/>
                <w:szCs w:val="24"/>
              </w:rPr>
              <w:tab/>
            </w:r>
            <w:r w:rsidRPr="00DE350A">
              <w:rPr>
                <w:rFonts w:ascii="Times New Roman" w:hAnsi="Times New Roman" w:cs="Times New Roman"/>
                <w:noProof/>
                <w:webHidden/>
                <w:sz w:val="24"/>
                <w:szCs w:val="24"/>
              </w:rPr>
              <w:fldChar w:fldCharType="begin"/>
            </w:r>
            <w:r w:rsidRPr="00DE350A">
              <w:rPr>
                <w:rFonts w:ascii="Times New Roman" w:hAnsi="Times New Roman" w:cs="Times New Roman"/>
                <w:noProof/>
                <w:webHidden/>
                <w:sz w:val="24"/>
                <w:szCs w:val="24"/>
              </w:rPr>
              <w:instrText xml:space="preserve"> PAGEREF _Toc510709525 \h </w:instrText>
            </w:r>
            <w:r w:rsidRPr="00DE350A">
              <w:rPr>
                <w:rFonts w:ascii="Times New Roman" w:hAnsi="Times New Roman" w:cs="Times New Roman"/>
                <w:noProof/>
                <w:webHidden/>
                <w:sz w:val="24"/>
                <w:szCs w:val="24"/>
              </w:rPr>
            </w:r>
            <w:r w:rsidRPr="00DE350A">
              <w:rPr>
                <w:rFonts w:ascii="Times New Roman" w:hAnsi="Times New Roman" w:cs="Times New Roman"/>
                <w:noProof/>
                <w:webHidden/>
                <w:sz w:val="24"/>
                <w:szCs w:val="24"/>
              </w:rPr>
              <w:fldChar w:fldCharType="separate"/>
            </w:r>
            <w:r w:rsidR="00D7126E">
              <w:rPr>
                <w:rFonts w:ascii="Times New Roman" w:hAnsi="Times New Roman" w:cs="Times New Roman"/>
                <w:noProof/>
                <w:webHidden/>
                <w:sz w:val="24"/>
                <w:szCs w:val="24"/>
              </w:rPr>
              <w:t>25</w:t>
            </w:r>
            <w:r w:rsidRPr="00DE350A">
              <w:rPr>
                <w:rFonts w:ascii="Times New Roman" w:hAnsi="Times New Roman" w:cs="Times New Roman"/>
                <w:noProof/>
                <w:webHidden/>
                <w:sz w:val="24"/>
                <w:szCs w:val="24"/>
              </w:rPr>
              <w:fldChar w:fldCharType="end"/>
            </w:r>
          </w:hyperlink>
        </w:p>
        <w:p w:rsidR="006C63CE" w:rsidRPr="00DE350A" w:rsidRDefault="006C63CE" w:rsidP="006C63CE">
          <w:pPr>
            <w:pStyle w:val="TJ1"/>
            <w:rPr>
              <w:rFonts w:ascii="Times New Roman" w:hAnsi="Times New Roman" w:cs="Times New Roman"/>
              <w:noProof/>
              <w:sz w:val="24"/>
              <w:szCs w:val="24"/>
              <w:lang w:val="hu-HU"/>
            </w:rPr>
          </w:pPr>
          <w:r w:rsidRPr="00DE350A">
            <w:rPr>
              <w:rFonts w:ascii="Times New Roman" w:hAnsi="Times New Roman" w:cs="Times New Roman"/>
              <w:noProof/>
              <w:sz w:val="24"/>
              <w:szCs w:val="24"/>
              <w:lang w:val="hu-HU"/>
            </w:rPr>
            <w:fldChar w:fldCharType="end"/>
          </w:r>
        </w:p>
      </w:sdtContent>
    </w:sdt>
    <w:p w:rsidR="006C63CE" w:rsidRPr="00DE350A" w:rsidRDefault="006C63CE" w:rsidP="006C63CE">
      <w:pPr>
        <w:jc w:val="both"/>
        <w:rPr>
          <w:rFonts w:ascii="Times New Roman" w:hAnsi="Times New Roman" w:cs="Times New Roman"/>
          <w:b/>
          <w:sz w:val="24"/>
          <w:szCs w:val="24"/>
          <w:lang w:val="hu-HU"/>
        </w:rPr>
      </w:pPr>
      <w:r w:rsidRPr="00DE350A">
        <w:rPr>
          <w:rFonts w:ascii="Times New Roman" w:hAnsi="Times New Roman" w:cs="Times New Roman"/>
          <w:b/>
          <w:sz w:val="24"/>
          <w:szCs w:val="24"/>
          <w:lang w:val="hu-HU"/>
        </w:rPr>
        <w:br w:type="page"/>
      </w:r>
    </w:p>
    <w:p w:rsidR="006C63CE" w:rsidRPr="00DE350A" w:rsidRDefault="006C63CE" w:rsidP="006C63CE">
      <w:pPr>
        <w:pStyle w:val="Cmsor1"/>
        <w:numPr>
          <w:ilvl w:val="0"/>
          <w:numId w:val="0"/>
        </w:numPr>
        <w:ind w:left="432" w:hanging="432"/>
        <w:jc w:val="both"/>
        <w:rPr>
          <w:rFonts w:ascii="Times New Roman" w:hAnsi="Times New Roman" w:cs="Times New Roman"/>
          <w:color w:val="auto"/>
          <w:sz w:val="24"/>
          <w:szCs w:val="24"/>
          <w:lang w:val="hu-HU"/>
        </w:rPr>
      </w:pPr>
      <w:bookmarkStart w:id="1" w:name="_Toc510709461"/>
      <w:r w:rsidRPr="00DE350A">
        <w:rPr>
          <w:rFonts w:ascii="Times New Roman" w:hAnsi="Times New Roman" w:cs="Times New Roman"/>
          <w:color w:val="auto"/>
          <w:sz w:val="24"/>
          <w:szCs w:val="24"/>
          <w:lang w:val="hu-HU"/>
        </w:rPr>
        <w:lastRenderedPageBreak/>
        <w:t>Értelmező rendelkezések</w:t>
      </w:r>
      <w:bookmarkEnd w:id="1"/>
    </w:p>
    <w:p w:rsidR="006C63CE" w:rsidRPr="00DE350A" w:rsidRDefault="006C63CE" w:rsidP="006C63CE">
      <w:pPr>
        <w:jc w:val="both"/>
        <w:rPr>
          <w:rFonts w:ascii="Times New Roman" w:hAnsi="Times New Roman" w:cs="Times New Roman"/>
          <w:sz w:val="24"/>
          <w:szCs w:val="24"/>
          <w:lang w:val="hu-HU"/>
        </w:rPr>
      </w:pPr>
    </w:p>
    <w:tbl>
      <w:tblPr>
        <w:tblStyle w:val="Rcsostblzat"/>
        <w:tblW w:w="0" w:type="auto"/>
        <w:tblLayout w:type="fixed"/>
        <w:tblLook w:val="04A0" w:firstRow="1" w:lastRow="0" w:firstColumn="1" w:lastColumn="0" w:noHBand="0" w:noVBand="1"/>
      </w:tblPr>
      <w:tblGrid>
        <w:gridCol w:w="2122"/>
        <w:gridCol w:w="7228"/>
      </w:tblGrid>
      <w:tr w:rsidR="006C63CE" w:rsidRPr="00A718EC" w:rsidTr="006C63CE">
        <w:tc>
          <w:tcPr>
            <w:tcW w:w="2122" w:type="dxa"/>
            <w:tcBorders>
              <w:top w:val="nil"/>
              <w:left w:val="nil"/>
              <w:bottom w:val="nil"/>
              <w:right w:val="nil"/>
            </w:tcBorders>
          </w:tcPr>
          <w:p w:rsidR="006C63CE" w:rsidRPr="00DE350A" w:rsidRDefault="006C63CE" w:rsidP="006C63CE">
            <w:pPr>
              <w:spacing w:before="24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adatfeldolgozó</w:t>
            </w:r>
          </w:p>
        </w:tc>
        <w:tc>
          <w:tcPr>
            <w:tcW w:w="7228" w:type="dxa"/>
            <w:tcBorders>
              <w:top w:val="nil"/>
              <w:left w:val="nil"/>
              <w:bottom w:val="nil"/>
              <w:right w:val="nil"/>
            </w:tcBorders>
          </w:tcPr>
          <w:p w:rsidR="006C63CE" w:rsidRPr="00DE350A" w:rsidRDefault="006C63CE" w:rsidP="006C63CE">
            <w:pPr>
              <w:spacing w:before="24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az a természetes vagy jogi személy, közhatalmi szerv, ügynökség vagy bármely egyéb szerv, amely az adatkezelő nevében személyes adatokat kezel</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adatkezelés</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adatkezelő</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sidDel="00BB5EAF">
              <w:rPr>
                <w:rFonts w:ascii="Times New Roman" w:hAnsi="Times New Roman" w:cs="Times New Roman"/>
                <w:sz w:val="24"/>
                <w:szCs w:val="24"/>
                <w:shd w:val="clear" w:color="auto" w:fill="FFFFFF"/>
                <w:lang w:val="hu-HU"/>
              </w:rPr>
              <w:t xml:space="preserve">a </w:t>
            </w:r>
            <w:r w:rsidRPr="00DE350A">
              <w:rPr>
                <w:rFonts w:ascii="Times New Roman" w:hAnsi="Times New Roman" w:cs="Times New Roman"/>
                <w:sz w:val="24"/>
                <w:szCs w:val="24"/>
                <w:shd w:val="clear" w:color="auto" w:fill="FFFFFF"/>
                <w:lang w:val="hu-HU"/>
              </w:rPr>
              <w:t>Vállalkozás</w:t>
            </w:r>
            <w:r w:rsidRPr="00DE350A" w:rsidDel="00BB5EAF">
              <w:rPr>
                <w:rFonts w:ascii="Times New Roman" w:hAnsi="Times New Roman" w:cs="Times New Roman"/>
                <w:sz w:val="24"/>
                <w:szCs w:val="24"/>
                <w:shd w:val="clear" w:color="auto" w:fill="FFFFFF"/>
                <w:lang w:val="hu-HU"/>
              </w:rPr>
              <w:t xml:space="preserve">, valamint </w:t>
            </w:r>
            <w:r w:rsidRPr="00DE350A">
              <w:rPr>
                <w:rFonts w:ascii="Times New Roman" w:hAnsi="Times New Roman" w:cs="Times New Roman"/>
                <w:sz w:val="24"/>
                <w:szCs w:val="24"/>
                <w:shd w:val="clear" w:color="auto" w:fill="FFFFFF"/>
                <w:lang w:val="hu-HU"/>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adatvédelmi incidens</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biometrikus adat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highlight w:val="yellow"/>
                <w:lang w:val="hu-HU"/>
              </w:rPr>
            </w:pPr>
            <w:r w:rsidRPr="00DE350A">
              <w:rPr>
                <w:rFonts w:ascii="Times New Roman" w:hAnsi="Times New Roman" w:cs="Times New Roman"/>
                <w:sz w:val="24"/>
                <w:szCs w:val="24"/>
                <w:lang w:val="hu-HU"/>
              </w:rPr>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címzett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egészségügyi adat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lastRenderedPageBreak/>
              <w:t>Érintett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 természetes személy, akinek a személyes adatait kezelik</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Érintett hozzájárulása</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EU tagállam</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Európai Unió tagállamai, így Ausztria, Belgium, Bulgária, Ciprus, Csehország, Dánia, Egyesült Királyság, Észtország, Finnország, Franciaország, Görögország, Hollandia, Horvátország, Írország, Lengyelország, Lettország, Litvánia, Luxemburg, Magyarország, Málta, Németország, Olaszország, Portugália, Románia, Spanyolország, Svédország, Szlovákia és Szlovénia</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felügyeleti hatóság</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egy európai uniós tagállam által a GDPR 51. cikknek megfelelően létrehozott független közhatalmi szerv</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bCs/>
                <w:sz w:val="24"/>
                <w:szCs w:val="24"/>
                <w:shd w:val="clear" w:color="auto" w:fill="FFFFFF"/>
                <w:lang w:val="hu-HU"/>
              </w:rPr>
            </w:pPr>
            <w:r w:rsidRPr="00DE350A">
              <w:rPr>
                <w:rFonts w:ascii="Times New Roman" w:hAnsi="Times New Roman" w:cs="Times New Roman"/>
                <w:bCs/>
                <w:sz w:val="24"/>
                <w:szCs w:val="24"/>
                <w:shd w:val="clear" w:color="auto" w:fill="FFFFFF"/>
                <w:lang w:val="hu-HU"/>
              </w:rPr>
              <w:t>GDPR</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shd w:val="clear" w:color="auto" w:fill="FFFFFF"/>
                <w:lang w:val="hu-HU"/>
              </w:rPr>
            </w:pPr>
            <w:r w:rsidRPr="00DE350A">
              <w:rPr>
                <w:rFonts w:ascii="Times New Roman" w:hAnsi="Times New Roman" w:cs="Times New Roman"/>
                <w:sz w:val="24"/>
                <w:szCs w:val="24"/>
                <w:shd w:val="clear" w:color="auto" w:fill="FFFFFF"/>
                <w:lang w:val="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genetikai adat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highlight w:val="yellow"/>
                <w:lang w:val="hu-HU"/>
              </w:rPr>
            </w:pPr>
            <w:r w:rsidRPr="00DE350A">
              <w:rPr>
                <w:rFonts w:ascii="Times New Roman" w:hAnsi="Times New Roman" w:cs="Times New Roman"/>
                <w:sz w:val="24"/>
                <w:szCs w:val="24"/>
                <w:lang w:val="hu-HU"/>
              </w:rPr>
              <w:t>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harmadik fél</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bCs/>
                <w:sz w:val="24"/>
                <w:szCs w:val="24"/>
                <w:shd w:val="clear" w:color="auto" w:fill="FFFFFF"/>
                <w:lang w:val="hu-HU"/>
              </w:rPr>
            </w:pPr>
            <w:r w:rsidRPr="00DE350A">
              <w:rPr>
                <w:rFonts w:ascii="Times New Roman" w:hAnsi="Times New Roman" w:cs="Times New Roman"/>
                <w:bCs/>
                <w:sz w:val="24"/>
                <w:szCs w:val="24"/>
                <w:shd w:val="clear" w:color="auto" w:fill="FFFFFF"/>
                <w:lang w:val="hu-HU"/>
              </w:rPr>
              <w:t>különleges adatok</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shd w:val="clear" w:color="auto" w:fill="FFFFFF"/>
                <w:lang w:val="hu-HU"/>
              </w:rPr>
            </w:pPr>
            <w:r w:rsidRPr="00DE350A">
              <w:rPr>
                <w:rFonts w:ascii="Times New Roman" w:hAnsi="Times New Roman" w:cs="Times New Roman"/>
                <w:sz w:val="24"/>
                <w:szCs w:val="24"/>
                <w:shd w:val="clear" w:color="auto" w:fill="FFFFFF"/>
                <w:lang w:val="hu-HU"/>
              </w:rPr>
              <w:t>a személyes adatok különleges kategóriáiba tartozó személyes adatok</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nemzetközi szervezet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 nemzetközi közjog hatálya alá tartozó szervezet vagy annak alárendelt szervei, vagy olyan egyéb szerv, amelyet két vagy több ország közötti megállapodás hozott létre vagy amely ilyen megállapodás alapján jött létre</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profilalkotás</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highlight w:val="yellow"/>
                <w:lang w:val="hu-HU"/>
              </w:rPr>
            </w:pPr>
            <w:r w:rsidRPr="00DE350A">
              <w:rPr>
                <w:rFonts w:ascii="Times New Roman" w:hAnsi="Times New Roman" w:cs="Times New Roman"/>
                <w:sz w:val="24"/>
                <w:szCs w:val="24"/>
                <w:lang w:val="hu-HU"/>
              </w:rPr>
              <w:t xml:space="preserve">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w:t>
            </w:r>
            <w:r w:rsidRPr="00DE350A">
              <w:rPr>
                <w:rFonts w:ascii="Times New Roman" w:hAnsi="Times New Roman" w:cs="Times New Roman"/>
                <w:sz w:val="24"/>
                <w:szCs w:val="24"/>
                <w:lang w:val="hu-HU"/>
              </w:rPr>
              <w:lastRenderedPageBreak/>
              <w:t>viselkedéshez, tartózkodási helyhez vagy mozgáshoz kapcsolódó jellemzők elemzésére vagy előrejelzésére használják</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bCs/>
                <w:sz w:val="24"/>
                <w:szCs w:val="24"/>
                <w:shd w:val="clear" w:color="auto" w:fill="FFFFFF"/>
                <w:lang w:val="hu-HU"/>
              </w:rPr>
            </w:pPr>
            <w:r w:rsidRPr="00DE350A">
              <w:rPr>
                <w:rFonts w:ascii="Times New Roman" w:hAnsi="Times New Roman" w:cs="Times New Roman"/>
                <w:sz w:val="24"/>
                <w:szCs w:val="24"/>
                <w:lang w:val="hu-HU"/>
              </w:rPr>
              <w:lastRenderedPageBreak/>
              <w:t>személyes adat</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sz w:val="24"/>
                <w:szCs w:val="24"/>
                <w:shd w:val="clear" w:color="auto" w:fill="FFFFFF"/>
                <w:lang w:val="hu-HU"/>
              </w:rPr>
            </w:pPr>
            <w:r w:rsidRPr="00DE350A">
              <w:rPr>
                <w:rFonts w:ascii="Times New Roman" w:hAnsi="Times New Roman" w:cs="Times New Roman"/>
                <w:sz w:val="24"/>
                <w:szCs w:val="24"/>
                <w:shd w:val="clear" w:color="auto" w:fill="FFFFFF"/>
                <w:lang w:val="hu-HU"/>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bCs/>
                <w:sz w:val="24"/>
                <w:szCs w:val="24"/>
                <w:shd w:val="clear" w:color="auto" w:fill="FFFFFF"/>
                <w:lang w:val="hu-HU"/>
              </w:rPr>
              <w:t>személyes adatok különleges kategóriái</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sidRPr="00DE350A">
              <w:rPr>
                <w:rFonts w:ascii="Times New Roman" w:hAnsi="Times New Roman" w:cs="Times New Roman"/>
                <w:sz w:val="24"/>
                <w:szCs w:val="24"/>
                <w:shd w:val="clear" w:color="auto" w:fill="FFFFFF"/>
                <w:lang w:val="hu-HU"/>
              </w:rPr>
              <w:t>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tc>
      </w:tr>
      <w:tr w:rsidR="006C63CE" w:rsidRPr="00A718EC" w:rsidTr="006C63CE">
        <w:tc>
          <w:tcPr>
            <w:tcW w:w="2122" w:type="dxa"/>
            <w:tcBorders>
              <w:top w:val="nil"/>
              <w:left w:val="nil"/>
              <w:bottom w:val="nil"/>
              <w:right w:val="nil"/>
            </w:tcBorders>
          </w:tcPr>
          <w:p w:rsidR="006C63CE" w:rsidRPr="00DE350A" w:rsidRDefault="006C63CE" w:rsidP="006C63CE">
            <w:pPr>
              <w:spacing w:before="120" w:after="120"/>
              <w:rPr>
                <w:rFonts w:ascii="Times New Roman" w:hAnsi="Times New Roman" w:cs="Times New Roman"/>
                <w:sz w:val="24"/>
                <w:szCs w:val="24"/>
                <w:lang w:val="hu-HU"/>
              </w:rPr>
            </w:pPr>
            <w:r w:rsidRPr="00DE350A">
              <w:rPr>
                <w:rFonts w:ascii="Times New Roman" w:hAnsi="Times New Roman" w:cs="Times New Roman"/>
                <w:sz w:val="24"/>
                <w:szCs w:val="24"/>
                <w:lang w:val="hu-HU"/>
              </w:rPr>
              <w:t>Vállalkozás</w:t>
            </w:r>
          </w:p>
        </w:tc>
        <w:tc>
          <w:tcPr>
            <w:tcW w:w="7228" w:type="dxa"/>
            <w:tcBorders>
              <w:top w:val="nil"/>
              <w:left w:val="nil"/>
              <w:bottom w:val="nil"/>
              <w:right w:val="nil"/>
            </w:tcBorders>
          </w:tcPr>
          <w:p w:rsidR="006C63CE" w:rsidRPr="00DE350A" w:rsidRDefault="006C63CE" w:rsidP="006C63CE">
            <w:pPr>
              <w:spacing w:before="120" w:after="120"/>
              <w:jc w:val="both"/>
              <w:rPr>
                <w:rFonts w:ascii="Times New Roman" w:hAnsi="Times New Roman" w:cs="Times New Roman"/>
                <w:b/>
                <w:sz w:val="24"/>
                <w:szCs w:val="24"/>
                <w:lang w:val="hu-HU"/>
              </w:rPr>
            </w:pPr>
            <w:r>
              <w:rPr>
                <w:rFonts w:ascii="Times New Roman" w:hAnsi="Times New Roman" w:cs="Times New Roman"/>
                <w:sz w:val="24"/>
                <w:szCs w:val="24"/>
                <w:lang w:val="hu-HU"/>
              </w:rPr>
              <w:t>Szepesi Vendéglátóipari Kft.</w:t>
            </w:r>
            <w:r w:rsidRPr="00DE350A">
              <w:rPr>
                <w:rFonts w:ascii="Times New Roman" w:hAnsi="Times New Roman" w:cs="Times New Roman"/>
                <w:sz w:val="24"/>
                <w:szCs w:val="24"/>
                <w:lang w:val="hu-HU"/>
              </w:rPr>
              <w:t>, mint adatkezelő</w:t>
            </w:r>
          </w:p>
        </w:tc>
      </w:tr>
    </w:tbl>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pPr>
    </w:p>
    <w:p w:rsidR="006C63CE" w:rsidRPr="00DE350A" w:rsidRDefault="006C63CE" w:rsidP="006C63CE">
      <w:pPr>
        <w:jc w:val="both"/>
        <w:rPr>
          <w:rFonts w:ascii="Times New Roman" w:hAnsi="Times New Roman" w:cs="Times New Roman"/>
          <w:b/>
          <w:sz w:val="24"/>
          <w:szCs w:val="24"/>
          <w:lang w:val="hu-HU"/>
        </w:rPr>
        <w:sectPr w:rsidR="006C63CE" w:rsidRPr="00DE350A" w:rsidSect="006C63CE">
          <w:pgSz w:w="12240" w:h="15840" w:code="1"/>
          <w:pgMar w:top="1440" w:right="1440" w:bottom="1440" w:left="1440" w:header="720" w:footer="720" w:gutter="0"/>
          <w:paperSrc w:first="259" w:other="259"/>
          <w:cols w:space="720"/>
          <w:docGrid w:linePitch="360"/>
        </w:sectPr>
      </w:pPr>
    </w:p>
    <w:p w:rsidR="006C63CE" w:rsidRPr="00DE350A" w:rsidRDefault="006C63CE" w:rsidP="006C63CE">
      <w:pPr>
        <w:pStyle w:val="Cmsor1"/>
        <w:spacing w:after="240"/>
        <w:jc w:val="both"/>
        <w:rPr>
          <w:rFonts w:ascii="Times New Roman" w:hAnsi="Times New Roman" w:cs="Times New Roman"/>
          <w:color w:val="auto"/>
          <w:sz w:val="24"/>
          <w:szCs w:val="24"/>
          <w:lang w:val="hu-HU"/>
        </w:rPr>
      </w:pPr>
      <w:bookmarkStart w:id="2" w:name="_Toc509837608"/>
      <w:bookmarkStart w:id="3" w:name="_Toc509838108"/>
      <w:bookmarkStart w:id="4" w:name="_Toc509837609"/>
      <w:bookmarkStart w:id="5" w:name="_Toc509838109"/>
      <w:bookmarkStart w:id="6" w:name="_Toc510709462"/>
      <w:bookmarkEnd w:id="2"/>
      <w:bookmarkEnd w:id="3"/>
      <w:bookmarkEnd w:id="4"/>
      <w:bookmarkEnd w:id="5"/>
      <w:r w:rsidRPr="00DE350A">
        <w:rPr>
          <w:rFonts w:ascii="Times New Roman" w:hAnsi="Times New Roman" w:cs="Times New Roman"/>
          <w:color w:val="auto"/>
          <w:sz w:val="24"/>
          <w:szCs w:val="24"/>
          <w:lang w:val="hu-HU"/>
        </w:rPr>
        <w:lastRenderedPageBreak/>
        <w:t>A szabályzat célja</w:t>
      </w:r>
      <w:bookmarkEnd w:id="6"/>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Adatkezelési Szabályzat célja olyan intézkedések bevezetése és következetes alkalmazása, amelyek az Érintettek</w:t>
      </w:r>
      <w:r w:rsidRPr="00DE350A">
        <w:rPr>
          <w:rFonts w:ascii="Times New Roman" w:hAnsi="Times New Roman" w:cs="Times New Roman"/>
          <w:b/>
          <w:sz w:val="24"/>
          <w:szCs w:val="24"/>
          <w:lang w:val="hu-HU"/>
        </w:rPr>
        <w:t xml:space="preserve"> </w:t>
      </w:r>
      <w:r w:rsidRPr="00DE350A">
        <w:rPr>
          <w:rFonts w:ascii="Times New Roman" w:hAnsi="Times New Roman" w:cs="Times New Roman"/>
          <w:sz w:val="24"/>
          <w:szCs w:val="24"/>
          <w:lang w:val="hu-HU"/>
        </w:rPr>
        <w:t>személyes adatainak pontos és biztonságos, valamint a hatályos uniós és tagállami adatvédelmi szabályoknak megfelelő, a Vállalkozás szintjén egységesen megvalósított kezelését biztosítják.</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Adatkezelési Szabályzat ugyanakkor tömör, átlátható és könnyen hozzáférhető tájékoztatást nyújt az Érintettek számára a Vállalkozás által kezelt személyes adataikhoz való hozzáférésről, valamint rendelkezik és tájékoztatást nyújt a Vállalkozás által az Érintettek jogainak biztosítására vonatkozó szabályokról. </w:t>
      </w:r>
    </w:p>
    <w:p w:rsidR="006C63CE" w:rsidRPr="00DE350A" w:rsidRDefault="006C63CE" w:rsidP="006C63CE">
      <w:pPr>
        <w:pStyle w:val="Cmsor1"/>
        <w:spacing w:after="240"/>
        <w:jc w:val="both"/>
        <w:rPr>
          <w:rFonts w:ascii="Times New Roman" w:hAnsi="Times New Roman" w:cs="Times New Roman"/>
          <w:color w:val="auto"/>
          <w:sz w:val="24"/>
          <w:szCs w:val="24"/>
          <w:lang w:val="hu-HU"/>
        </w:rPr>
      </w:pPr>
      <w:bookmarkStart w:id="7" w:name="_Toc509838111"/>
      <w:bookmarkStart w:id="8" w:name="_Toc509838113"/>
      <w:bookmarkStart w:id="9" w:name="_Toc509838114"/>
      <w:bookmarkStart w:id="10" w:name="_Toc509838115"/>
      <w:bookmarkStart w:id="11" w:name="_Toc509838123"/>
      <w:bookmarkStart w:id="12" w:name="_Toc509838129"/>
      <w:bookmarkStart w:id="13" w:name="_Toc509838131"/>
      <w:bookmarkStart w:id="14" w:name="_Toc510709463"/>
      <w:bookmarkEnd w:id="7"/>
      <w:bookmarkEnd w:id="8"/>
      <w:bookmarkEnd w:id="9"/>
      <w:bookmarkEnd w:id="10"/>
      <w:bookmarkEnd w:id="11"/>
      <w:bookmarkEnd w:id="12"/>
      <w:bookmarkEnd w:id="13"/>
      <w:r w:rsidRPr="00DE350A">
        <w:rPr>
          <w:rFonts w:ascii="Times New Roman" w:hAnsi="Times New Roman" w:cs="Times New Roman"/>
          <w:color w:val="auto"/>
          <w:sz w:val="24"/>
          <w:szCs w:val="24"/>
          <w:lang w:val="hu-HU"/>
        </w:rPr>
        <w:t>Adatkezelési alapelvek</w:t>
      </w:r>
      <w:bookmarkEnd w:id="14"/>
    </w:p>
    <w:p w:rsidR="006C63CE" w:rsidRPr="00DE350A" w:rsidRDefault="006C63CE" w:rsidP="006C63CE">
      <w:pPr>
        <w:jc w:val="both"/>
        <w:rPr>
          <w:rFonts w:ascii="Times New Roman" w:hAnsi="Times New Roman" w:cs="Times New Roman"/>
          <w:sz w:val="24"/>
          <w:szCs w:val="24"/>
          <w:u w:val="single"/>
          <w:lang w:val="hu-HU"/>
        </w:rPr>
      </w:pPr>
      <w:r w:rsidRPr="00DE350A">
        <w:rPr>
          <w:rFonts w:ascii="Times New Roman" w:hAnsi="Times New Roman" w:cs="Times New Roman"/>
          <w:sz w:val="24"/>
          <w:szCs w:val="24"/>
          <w:lang w:val="hu-HU"/>
        </w:rPr>
        <w:t>Személyes adatok kezelésének megkezdése előtt minden esetben gondosan mérlegelni kell, hogy erre ténylegesen szükség van-e. Személyes adatok kezelését kizárólag akkor lehet megkezdeni, ha kétséget kizáróan indokolható, hogy az adatkezelés célját más módon nem lehet megvalósítani.</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köteles az Érintettek személyes adatait jogszerűen, tisztességesen, átlátható módon kezelni. Senkit nem érhet hátrány abból eredően, hogy a Vállalkozásnál, illetve a jelen Szabályzatban meghatározott egyéb hatóságnál eljárást, jogorvoslatot kezdeményezett vagy bejelentést tett, illetve, hogy a hozzájáruláson alapuló adatkezelés esetén a hozzájárulását megtagadta vagy visszavonta.</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Érintettek személyes adatainak gyűjtése csak meghatározott, egyértelmű és jogszerű célból történhet. A Vállalkozás köteles eleve elkerülni, illetve utóbb megszüntetni minden olyan adatkezelést, amely az adott személyes adatra vonatkozó céllal össze nem egyeztethető módon történik. A Vállalkozás csak a szükséges mértékben jogosult személyes adatot kezelni, és köteles minden olyan személyes adatot törölni, amelynek tekintetében az adatkezelés célja megszűnt, illetve az adatkezelés jogalapja nem igazolható.</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Vállalkozás köteles olyan kontrollmechanizmusokat bevezetni, amelyek alkalmasak arra, hogy már előzetesen is, illetve utóbb szűrő jelleggel biztosítható legyen, hogy </w:t>
      </w:r>
    </w:p>
    <w:p w:rsidR="006C63CE" w:rsidRPr="00DE350A" w:rsidRDefault="006C63CE" w:rsidP="006C63CE">
      <w:pPr>
        <w:pStyle w:val="Listaszerbekezds"/>
        <w:numPr>
          <w:ilvl w:val="0"/>
          <w:numId w:val="24"/>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személyes adatok már az adatfelvétel időpontjában, majd az adatkezelés teljes időtartama alatt az adatkezelés céljainak megfelelnek, továbbá</w:t>
      </w:r>
    </w:p>
    <w:p w:rsidR="006C63CE" w:rsidRPr="00DE350A" w:rsidRDefault="006C63CE" w:rsidP="006C63CE">
      <w:pPr>
        <w:pStyle w:val="Listaszerbekezds"/>
        <w:numPr>
          <w:ilvl w:val="0"/>
          <w:numId w:val="24"/>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adatkezelés mértéke mind az adatok körét, mind az adatkezelés időtartamát illetően a szükségesre korlátozódik. </w:t>
      </w:r>
    </w:p>
    <w:p w:rsidR="006C63CE" w:rsidRPr="00DE350A" w:rsidRDefault="006C63CE" w:rsidP="006C63CE">
      <w:pPr>
        <w:spacing w:before="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Vállalkozás által kezelt személyes adatoknak pontosnak és naprakésznek kell lenniük. A Vállalkozás köteles minden ésszerű intézkedést megtenni annak érdekében, hogy pontos személyes adatok kerüljenek kezelésre, </w:t>
      </w:r>
    </w:p>
    <w:p w:rsidR="006C63CE" w:rsidRPr="00DE350A" w:rsidRDefault="006C63CE" w:rsidP="006C63CE">
      <w:pPr>
        <w:pStyle w:val="Listaszerbekezds"/>
        <w:numPr>
          <w:ilvl w:val="0"/>
          <w:numId w:val="25"/>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 céljai szempontjából felesleges, időközben feleslegessé váló személyes adatokat haladéktalanul töröljék;</w:t>
      </w:r>
    </w:p>
    <w:p w:rsidR="006C63CE" w:rsidRPr="00DE350A" w:rsidRDefault="006C63CE" w:rsidP="006C63CE">
      <w:pPr>
        <w:pStyle w:val="Listaszerbekezds"/>
        <w:numPr>
          <w:ilvl w:val="0"/>
          <w:numId w:val="25"/>
        </w:numPr>
        <w:spacing w:before="6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pontatlan személyes adatokat helyesbítsék vagy töröljék.</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személyes adatok tárolásának olyan formában kell történnie, amely az Érintettek azonosítását csak a személyes adatok kezelése céljainak eléréséhez szükséges ideig teszi lehetővé.</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lastRenderedPageBreak/>
        <w:t>A személyes adatok kezelését olyan módon kell végezni, hogy megfelelő technikai vagy szervezési intézkedések alkalmazásával biztosítva legyen a személyes adatok megfelelő biztonsága, ideértve mindazon lépéseket, melyek a személyes adatok jogosulatlan vagy jogellenes kezelésével, véletlen elvesztésével, megsemmisítésével vagy károsodásával szembeni védelmét szolgálja.</w:t>
      </w:r>
    </w:p>
    <w:p w:rsidR="006C63CE" w:rsidRPr="00DE350A" w:rsidRDefault="006C63CE" w:rsidP="006C63CE">
      <w:pPr>
        <w:pStyle w:val="Cmsor1"/>
        <w:spacing w:after="240"/>
        <w:jc w:val="both"/>
        <w:rPr>
          <w:rFonts w:ascii="Times New Roman" w:hAnsi="Times New Roman" w:cs="Times New Roman"/>
          <w:color w:val="auto"/>
          <w:sz w:val="24"/>
          <w:szCs w:val="24"/>
          <w:lang w:val="hu-HU"/>
        </w:rPr>
      </w:pPr>
      <w:bookmarkStart w:id="15" w:name="_Toc510709464"/>
      <w:r w:rsidRPr="00DE350A">
        <w:rPr>
          <w:rFonts w:ascii="Times New Roman" w:hAnsi="Times New Roman" w:cs="Times New Roman"/>
          <w:color w:val="auto"/>
          <w:sz w:val="24"/>
          <w:szCs w:val="24"/>
          <w:lang w:val="hu-HU"/>
        </w:rPr>
        <w:t>Az adatkezelés jogszerűsége</w:t>
      </w:r>
      <w:bookmarkEnd w:id="15"/>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 alapjának helytálló meghatározása és a kiválasztott jogalaphoz tartozó további feltételek teljesítése a jogszerű adatkezelés előfeltétele. A jogszerűség követelménye tehát szűkebben véve a megfelelő adatkezelési jogalap meglétét feltételezi, tágabban értelmezve pedig azt jelenti, hogy a személyes adatok kezelésére csak az adott adatkezelési jogalapra vonatkozó jogszabályokkal összhangban kerülhet sor.</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az általa végzett tevékenységre tekintettel az Érintettek személyes adatai tekintetében az alábbi főbb jogalapok közül választhat az adatkezelés jellegének és körülményeinek megfelelően. Az első alpontban említett főbb jogalapok a személyes adatok különleges kategóriái kivételével minden személyes adatra vonatkoznak, míg a második alpont a személyes adatok különleges kategóriáira vonatkozó jogalapokkal kapcsolatos speciális rendelkezéseket rögzíti.</w:t>
      </w:r>
    </w:p>
    <w:p w:rsidR="006C63CE" w:rsidRPr="00DE350A" w:rsidRDefault="006C63CE" w:rsidP="006C63CE">
      <w:pPr>
        <w:pStyle w:val="Cmsor2"/>
        <w:jc w:val="both"/>
        <w:rPr>
          <w:rFonts w:ascii="Times New Roman" w:hAnsi="Times New Roman" w:cs="Times New Roman"/>
          <w:color w:val="auto"/>
          <w:sz w:val="24"/>
          <w:szCs w:val="24"/>
        </w:rPr>
      </w:pPr>
      <w:bookmarkStart w:id="16" w:name="_Toc510709465"/>
      <w:r w:rsidRPr="00DE350A">
        <w:rPr>
          <w:rFonts w:ascii="Times New Roman" w:hAnsi="Times New Roman" w:cs="Times New Roman"/>
          <w:color w:val="auto"/>
          <w:sz w:val="24"/>
          <w:szCs w:val="24"/>
        </w:rPr>
        <w:t>Személyes adatok, a különleges adatok kivételével</w:t>
      </w:r>
      <w:bookmarkEnd w:id="16"/>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Vállalkozás az Érintett személyes adatait – ide nem értve a különleges adatokat – különösen az alábbi jogalapon kezelheti: </w:t>
      </w:r>
    </w:p>
    <w:p w:rsidR="006C63CE" w:rsidRPr="00DE350A" w:rsidRDefault="006C63CE" w:rsidP="006C63CE">
      <w:pPr>
        <w:pStyle w:val="Listaszerbekezds"/>
        <w:numPr>
          <w:ilvl w:val="0"/>
          <w:numId w:val="4"/>
        </w:numPr>
        <w:spacing w:before="60" w:after="0"/>
        <w:ind w:left="993" w:hanging="633"/>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Hozzájárulás: A Vállalkozás – amennyiben a hozzájárulás önkéntessége bizonyítható – hozzájárulást adhat személyes adatainak kezeléséhez. Amennyiben a Vállalkozás a közvetlenül 16. életévét be nem töltött gyermekeknek kínált információs társadalommal összefüggő szolgáltatások kapcsán a 16. életévét be nem töltött gyermek személyes adatait kezeli, főszabály szerint csak akkor és olyan mértékben jogszerű az adatkezelés, ha a hozzájárulást a gyermek feletti szülői felügyeletet gyakorló adta meg, ill. engedélyezte. Az Érintett a hozzájárulását önkéntes alapon nyújtja, és jogosult azt bármikor visszavonni. A visszavonás az azt megelőzően végrehajtott adatkezelés jogszerűségét nem érinti.</w:t>
      </w:r>
    </w:p>
    <w:p w:rsidR="006C63CE" w:rsidRPr="00DE350A" w:rsidRDefault="006C63CE" w:rsidP="006C63CE">
      <w:pPr>
        <w:pStyle w:val="Listaszerbekezds"/>
        <w:numPr>
          <w:ilvl w:val="0"/>
          <w:numId w:val="4"/>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Szerződés előkészítése, ill. szerződés teljesítése: Ez a jogalap alkalmazható a szerződéshez (pl. szolgáltatás nyújtására irányuló szerződés, munkaszerződés, tanulmányi szerződés) teljesítéséhez szükséges adatkezelések esetén, amelyben az Érintett az egyik fél, vagy ha az adatkezelés a szerződés megkötését megelőzően az Érintett kérésére történő lépések megtételéhez szükséges.</w:t>
      </w:r>
    </w:p>
    <w:p w:rsidR="006C63CE" w:rsidRPr="00DE350A" w:rsidRDefault="006C63CE" w:rsidP="006C63CE">
      <w:pPr>
        <w:pStyle w:val="Listaszerbekezds"/>
        <w:numPr>
          <w:ilvl w:val="0"/>
          <w:numId w:val="4"/>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Jogi kötelezettség teljesítése: Uniós vagy nemzeti jog által megkívánt adatkezelés.</w:t>
      </w:r>
    </w:p>
    <w:p w:rsidR="006C63CE" w:rsidRPr="00DE350A" w:rsidRDefault="006C63CE" w:rsidP="006C63CE">
      <w:pPr>
        <w:pStyle w:val="Listaszerbekezds"/>
        <w:numPr>
          <w:ilvl w:val="0"/>
          <w:numId w:val="4"/>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Jogos érdek: Ide tartoznak a Vállalkozás vagy egy harmadik fél jogos érdekeinek érvényesítéséhez szükséges adatkezelések. A Vállalkozás vagy harmadik fél jogos érdekét az adott adatkezelési célra vonatkozó adatkezelési tájékoztató rögzíti. Jogos érdeken alapuló adatkezelés csak abban az esetben történhet, ha a Vállalkozás érdekmérlegelési tesztet készít, amelyben </w:t>
      </w:r>
      <w:r w:rsidRPr="00DE350A">
        <w:rPr>
          <w:rFonts w:ascii="Times New Roman" w:hAnsi="Times New Roman" w:cs="Times New Roman"/>
          <w:sz w:val="24"/>
          <w:szCs w:val="24"/>
          <w:shd w:val="clear" w:color="auto" w:fill="FFFFFF"/>
          <w:lang w:val="hu-HU"/>
        </w:rPr>
        <w:t xml:space="preserve">rögzíti és megvizsgálja, hogy a </w:t>
      </w:r>
      <w:r w:rsidRPr="00DE350A">
        <w:rPr>
          <w:rFonts w:ascii="Times New Roman" w:hAnsi="Times New Roman" w:cs="Times New Roman"/>
          <w:sz w:val="24"/>
          <w:szCs w:val="24"/>
          <w:lang w:val="hu-HU"/>
        </w:rPr>
        <w:t>Vállalkozás</w:t>
      </w:r>
      <w:r w:rsidRPr="00DE350A">
        <w:rPr>
          <w:rFonts w:ascii="Times New Roman" w:hAnsi="Times New Roman" w:cs="Times New Roman"/>
          <w:sz w:val="24"/>
          <w:szCs w:val="24"/>
          <w:shd w:val="clear" w:color="auto" w:fill="FFFFFF"/>
          <w:lang w:val="hu-HU"/>
        </w:rPr>
        <w:t xml:space="preserve"> jogos érdeke arányosan korlátozza-e az Érintett személyes adatok védelméhez való jogát, magánszféráját, illetve azt, hogy miként biztosítható az </w:t>
      </w:r>
      <w:r w:rsidRPr="00DE350A">
        <w:rPr>
          <w:rFonts w:ascii="Times New Roman" w:hAnsi="Times New Roman" w:cs="Times New Roman"/>
          <w:sz w:val="24"/>
          <w:szCs w:val="24"/>
          <w:shd w:val="clear" w:color="auto" w:fill="FFFFFF"/>
          <w:lang w:val="hu-HU"/>
        </w:rPr>
        <w:lastRenderedPageBreak/>
        <w:t xml:space="preserve">egyensúly a </w:t>
      </w:r>
      <w:r w:rsidRPr="00DE350A">
        <w:rPr>
          <w:rFonts w:ascii="Times New Roman" w:hAnsi="Times New Roman" w:cs="Times New Roman"/>
          <w:sz w:val="24"/>
          <w:szCs w:val="24"/>
          <w:lang w:val="hu-HU"/>
        </w:rPr>
        <w:t>Vállalkozás</w:t>
      </w:r>
      <w:r w:rsidRPr="00DE350A">
        <w:rPr>
          <w:rFonts w:ascii="Times New Roman" w:hAnsi="Times New Roman" w:cs="Times New Roman"/>
          <w:sz w:val="24"/>
          <w:szCs w:val="24"/>
          <w:shd w:val="clear" w:color="auto" w:fill="FFFFFF"/>
          <w:lang w:val="hu-HU"/>
        </w:rPr>
        <w:t xml:space="preserve"> és az Érintett érdekei között. Az érdekmérlegelési teszt nem része az adatkezelési tájékoztatónak.</w:t>
      </w:r>
    </w:p>
    <w:p w:rsidR="006C63CE" w:rsidRPr="00DE350A" w:rsidRDefault="006C63CE" w:rsidP="006C63CE">
      <w:pPr>
        <w:pStyle w:val="Listaszerbekezds"/>
        <w:numPr>
          <w:ilvl w:val="0"/>
          <w:numId w:val="4"/>
        </w:numPr>
        <w:ind w:left="993" w:hanging="636"/>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[Egyéb, az adott adatkezelési cél szempontjából egyedi adatkezelési jogalapok lehetnek még: az Érintett vagy egy másik természetes személy létfontosságú érdeke vagy közérdekű adatkezelés, illetve a Vállalkozásra ruházott közhatalmi jogosítvány gyakorlásának keretében végzett feladat ellátásával összefüggő adatkezelés.]</w:t>
      </w:r>
      <w:r w:rsidRPr="00DE350A">
        <w:rPr>
          <w:rStyle w:val="Lbjegyzet-hivatkozs"/>
          <w:rFonts w:ascii="Times New Roman" w:hAnsi="Times New Roman" w:cs="Times New Roman"/>
          <w:sz w:val="24"/>
          <w:szCs w:val="24"/>
          <w:lang w:val="hu-HU"/>
        </w:rPr>
        <w:footnoteReference w:id="1"/>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Amennyiben a Vállalkozás az Érintettől gyűjti az adatokat és az Érintett a fenti jogalapokon kezelt adatokat nem adja meg, akkor az adatszolgáltatás lehetséges következménye lehet a valamilyen szerződés előkészítésének, illetve teljesítésének a megtagadása, illetve lehetetlenülése (pl. a munkaviszony létesítésének a meghiúsulása). Ha az Érintett a szolgáltatandó adatoknak csak egy részét nem adja meg, akkor a nem teljeskörűen szolgáltatott adatok alapján kell megítélni, hogy az adatszolgáltatás elmaradása okozhatja-e pl. a szerződés létrejöttének vagy fenntartásának lehetetlenülését. Szerződésen alapuló adatkezelés esetén a lehetetlenülés jogkövetkezményeit a Vállalkozás csak akkor alkalmazhatja, ha igazolja, hogy a szolgáltatott adat nélkül az érintett szerződés teljesítésére nem képes.</w:t>
      </w:r>
    </w:p>
    <w:p w:rsidR="006C63CE" w:rsidRPr="00DE350A" w:rsidRDefault="006C63CE" w:rsidP="006C63CE">
      <w:pPr>
        <w:pStyle w:val="Cmsor2"/>
        <w:jc w:val="both"/>
        <w:rPr>
          <w:rFonts w:ascii="Times New Roman" w:hAnsi="Times New Roman" w:cs="Times New Roman"/>
          <w:color w:val="auto"/>
          <w:sz w:val="24"/>
          <w:szCs w:val="24"/>
        </w:rPr>
      </w:pPr>
      <w:bookmarkStart w:id="17" w:name="_Toc510709466"/>
      <w:r w:rsidRPr="00DE350A">
        <w:rPr>
          <w:rFonts w:ascii="Times New Roman" w:hAnsi="Times New Roman" w:cs="Times New Roman"/>
          <w:color w:val="auto"/>
          <w:sz w:val="24"/>
          <w:szCs w:val="24"/>
        </w:rPr>
        <w:t>Különleges adatok</w:t>
      </w:r>
      <w:bookmarkEnd w:id="17"/>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természetes személyeket megillető alapvető jogok és szabadságok miatt a különleges adatok természetüknél fogva érzékeny és kockázatot jelentő adatok, melyek megkülönböztetett védelmet igényelnek. A Vállalkozás az Érintett különleges adatait – ideértve elsősorban az egészségügyi adatokat – különösen az alábbi célból, illetve jogalapon kezelheti:</w:t>
      </w:r>
    </w:p>
    <w:p w:rsidR="006C63CE" w:rsidRPr="00DE350A" w:rsidRDefault="006C63CE" w:rsidP="006C63CE">
      <w:pPr>
        <w:pStyle w:val="Listaszerbekezds"/>
        <w:numPr>
          <w:ilvl w:val="0"/>
          <w:numId w:val="5"/>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GDPR 9. cikk (2) bek. a) pontja: Az Érintett – amennyiben a hozzájárulás önkéntessége bizonyítható – hozzájárulást adhat személyes adatainak. Az Érintett a hozzájárulását önkéntes alapon nyújtja, és jogosult azt bármikor visszavonni. A visszavonás az azt megelőzően végrehajtott adatkezelés jogszerűségét nem érinti. </w:t>
      </w:r>
    </w:p>
    <w:p w:rsidR="006C63CE" w:rsidRPr="00DE350A" w:rsidRDefault="006C63CE" w:rsidP="006C63CE">
      <w:pPr>
        <w:pStyle w:val="Listaszerbekezds"/>
        <w:numPr>
          <w:ilvl w:val="0"/>
          <w:numId w:val="5"/>
        </w:numPr>
        <w:spacing w:before="60" w:after="0"/>
        <w:ind w:left="993" w:hanging="633"/>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GDPR 9. cikk (2) bek. b) pontja: Pl. uniós vagy tagállami jog, illetve a tagállami jog szerinti kollektív szerződés felhatalmazása esetén a Vállalkozás adatkezelést folytathat a foglalkoztatást, valamint a szociális biztonságot és szociális védelmet szabályozó jogi előírásokból fakadó kötelezettségei teljesítése és konkrét jogai gyakorlása érdekében.</w:t>
      </w:r>
    </w:p>
    <w:p w:rsidR="006C63CE" w:rsidRPr="00DE350A" w:rsidRDefault="006C63CE" w:rsidP="006C63CE">
      <w:pPr>
        <w:pStyle w:val="Listaszerbekezds"/>
        <w:numPr>
          <w:ilvl w:val="0"/>
          <w:numId w:val="5"/>
        </w:numPr>
        <w:spacing w:before="60"/>
        <w:ind w:left="993" w:hanging="633"/>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GDPR 9. cikk (2) bek. f) pontja: Ez a jogalap alkalmazható, ha a különleges adat kezelésére jogi igények előterjesztéséhez, érvényesítéséhez, illetve védelméhez szükséges célból kerül sor.</w:t>
      </w:r>
      <w:r w:rsidRPr="00DE350A">
        <w:rPr>
          <w:rStyle w:val="Lbjegyzet-hivatkozs"/>
          <w:rFonts w:ascii="Times New Roman" w:hAnsi="Times New Roman" w:cs="Times New Roman"/>
          <w:sz w:val="24"/>
          <w:szCs w:val="24"/>
          <w:lang w:val="hu-HU"/>
        </w:rPr>
        <w:footnoteReference w:id="2"/>
      </w:r>
    </w:p>
    <w:p w:rsidR="006C63CE" w:rsidRPr="00DE350A" w:rsidRDefault="006C63CE" w:rsidP="006C63CE">
      <w:pPr>
        <w:pStyle w:val="Cmsor1"/>
        <w:spacing w:after="240"/>
        <w:jc w:val="both"/>
        <w:rPr>
          <w:rFonts w:ascii="Times New Roman" w:hAnsi="Times New Roman" w:cs="Times New Roman"/>
          <w:color w:val="auto"/>
          <w:sz w:val="24"/>
          <w:szCs w:val="24"/>
          <w:lang w:val="hu-HU"/>
        </w:rPr>
      </w:pPr>
      <w:bookmarkStart w:id="18" w:name="_Toc510709467"/>
      <w:r w:rsidRPr="00DE350A">
        <w:rPr>
          <w:rFonts w:ascii="Times New Roman" w:hAnsi="Times New Roman" w:cs="Times New Roman"/>
          <w:color w:val="auto"/>
          <w:sz w:val="24"/>
          <w:szCs w:val="24"/>
          <w:lang w:val="hu-HU"/>
        </w:rPr>
        <w:t>A Vállalkozás tájékoztatási kötelezettsége és intézkedései</w:t>
      </w:r>
      <w:bookmarkEnd w:id="18"/>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köteles tömör, átlátható és könnyen hozzáférhető formában, világosan és közérthetően az Érintett rendelkezésére bocsátani bizonyos információkat és tájékoztatni az Érintettet az őt megillető jogokról.</w:t>
      </w:r>
      <w:r w:rsidRPr="00DE350A">
        <w:rPr>
          <w:rStyle w:val="Lbjegyzet-hivatkozs"/>
          <w:rFonts w:ascii="Times New Roman" w:hAnsi="Times New Roman" w:cs="Times New Roman"/>
          <w:sz w:val="24"/>
          <w:szCs w:val="24"/>
          <w:lang w:val="hu-HU"/>
        </w:rPr>
        <w:footnoteReference w:id="3"/>
      </w:r>
      <w:r w:rsidRPr="00DE350A">
        <w:rPr>
          <w:rFonts w:ascii="Times New Roman" w:hAnsi="Times New Roman" w:cs="Times New Roman"/>
          <w:sz w:val="24"/>
          <w:szCs w:val="24"/>
          <w:lang w:val="hu-HU"/>
        </w:rPr>
        <w:t xml:space="preserve"> Továbbá az Érintett kérelmére bizonyos eljárási szabályok betartásával a Vállalkozás intézkedéseket tehet.</w:t>
      </w:r>
    </w:p>
    <w:p w:rsidR="006C63CE" w:rsidRPr="00DE350A" w:rsidRDefault="006C63CE" w:rsidP="006C63CE">
      <w:pPr>
        <w:pStyle w:val="Cmsor2"/>
        <w:jc w:val="both"/>
        <w:rPr>
          <w:rFonts w:ascii="Times New Roman" w:hAnsi="Times New Roman" w:cs="Times New Roman"/>
          <w:color w:val="auto"/>
          <w:sz w:val="24"/>
          <w:szCs w:val="24"/>
        </w:rPr>
      </w:pPr>
      <w:bookmarkStart w:id="19" w:name="_Toc510709468"/>
      <w:r w:rsidRPr="00DE350A">
        <w:rPr>
          <w:rFonts w:ascii="Times New Roman" w:hAnsi="Times New Roman" w:cs="Times New Roman"/>
          <w:color w:val="auto"/>
          <w:sz w:val="24"/>
          <w:szCs w:val="24"/>
        </w:rPr>
        <w:lastRenderedPageBreak/>
        <w:t>Adatkezelési tájékoztató</w:t>
      </w:r>
      <w:bookmarkEnd w:id="19"/>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Vállalkozás attól függően, hogy a személyes adatokat az Érintettől gyűjti-e vagy sem, köteles az Érintett rendelkezésére bocsájtani bizonyos az adatkezelésre vonatkozó információkat. Jelen adatkezelési tájékoztatások közös és egyedi szabályait az alábbi alfejezetek foglalják össze. </w:t>
      </w:r>
    </w:p>
    <w:p w:rsidR="006C63CE" w:rsidRPr="00DE350A" w:rsidRDefault="006C63CE" w:rsidP="006C63CE">
      <w:pPr>
        <w:pStyle w:val="Cmsor3"/>
        <w:numPr>
          <w:ilvl w:val="2"/>
          <w:numId w:val="32"/>
        </w:numPr>
        <w:spacing w:after="120"/>
        <w:jc w:val="both"/>
        <w:rPr>
          <w:rFonts w:ascii="Times New Roman" w:hAnsi="Times New Roman" w:cs="Times New Roman"/>
          <w:color w:val="auto"/>
        </w:rPr>
      </w:pPr>
      <w:bookmarkStart w:id="20" w:name="_Toc510709469"/>
      <w:r w:rsidRPr="00DE350A">
        <w:rPr>
          <w:rFonts w:ascii="Times New Roman" w:hAnsi="Times New Roman" w:cs="Times New Roman"/>
          <w:color w:val="auto"/>
        </w:rPr>
        <w:t>Közös szabályok</w:t>
      </w:r>
      <w:bookmarkEnd w:id="20"/>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tájékoztatási kötelezettségek alapján a Vállalkozás az alábbiakról köteles értesíteni az Érintettet:</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Vállalkozásnak és – ha van ilyen – a Vállalkozás képviselőjének a kiléte és elérhetőségei,</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u w:val="single"/>
          <w:lang w:val="hu-HU"/>
        </w:rPr>
      </w:pPr>
      <w:r w:rsidRPr="00DE350A">
        <w:rPr>
          <w:rFonts w:ascii="Times New Roman" w:hAnsi="Times New Roman" w:cs="Times New Roman"/>
          <w:sz w:val="24"/>
          <w:szCs w:val="24"/>
          <w:u w:val="single"/>
          <w:lang w:val="hu-HU"/>
        </w:rPr>
        <w:t>az adatvédelmi tisztviselő elérhetőségei,</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személyes adatok tervezett kezelésének célja, valamint az adatkezelés jogalapja,</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GDPR 6. cikk (1) bekezdésének f) pontján alapuló adatkezelés esetén, a Vállalkozás vagy harmadik fél jogos érdekei,</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adott esetben a személyes adatok címzettjei, illetve a címzettek kategóriái, ha van ilyen,</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adott esetben annak ténye, hogy a Vállalkozás harmadik országba vagy nemzetközi szervezet részére kívánja továbbítani a személyes adatokat, továbbá az Európai Bizottság megfelelőségi határozatának léte vagy annak hiánya, vagy a GDPR 46. cikkben, a GDPR 47. cikkben vagy a GDPR 49. cikk (1) bekezdésének második albekezdésében említett adattovábbítás esetén a megfelelő és alkalmas garanciák megjelölése, valamint az azok másolatának megszerzésére szolgáló módokra vagy az azok elérhetőségére való hivatkozás,</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személyes adatok tárolásának időtartamáról, vagy ha ez nem lehetséges, ezen időtartam meghatározásának szempontjairól,</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GDPR 6. cikk (1) bekezdésének a) pontján vagy a GDPR 9. cikk (2) bekezdésének a) pontján alapuló adatkezelés esetén a hozzájárulás bármely időpontban történő visszavonásához való jog, amely nem érinti a visszavonás előtt a hozzájárulás alapján végrehajtott adatkezelés jogszerűségét,</w:t>
      </w:r>
    </w:p>
    <w:p w:rsidR="006C63CE" w:rsidRPr="00DE350A" w:rsidRDefault="006C63CE" w:rsidP="006C63CE">
      <w:pPr>
        <w:pStyle w:val="Listaszerbekezds"/>
        <w:numPr>
          <w:ilvl w:val="0"/>
          <w:numId w:val="27"/>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felügyeleti hatósághoz címzett panasz benyújtásának jogáról,</w:t>
      </w:r>
    </w:p>
    <w:p w:rsidR="006C63CE" w:rsidRPr="00DE350A" w:rsidRDefault="006C63CE" w:rsidP="006C63CE">
      <w:pPr>
        <w:pStyle w:val="Listaszerbekezds"/>
        <w:numPr>
          <w:ilvl w:val="0"/>
          <w:numId w:val="27"/>
        </w:numPr>
        <w:spacing w:before="6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GDPR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6C63CE" w:rsidRPr="00DE350A" w:rsidRDefault="006C63CE" w:rsidP="006C63CE">
      <w:pPr>
        <w:pStyle w:val="Cmsor3"/>
        <w:numPr>
          <w:ilvl w:val="2"/>
          <w:numId w:val="32"/>
        </w:numPr>
        <w:spacing w:after="120"/>
        <w:jc w:val="both"/>
        <w:rPr>
          <w:rFonts w:ascii="Times New Roman" w:hAnsi="Times New Roman" w:cs="Times New Roman"/>
          <w:color w:val="auto"/>
        </w:rPr>
      </w:pPr>
      <w:bookmarkStart w:id="21" w:name="_Toc510709470"/>
      <w:r w:rsidRPr="00DE350A">
        <w:rPr>
          <w:rFonts w:ascii="Times New Roman" w:hAnsi="Times New Roman" w:cs="Times New Roman"/>
          <w:color w:val="auto"/>
        </w:rPr>
        <w:t>Rendelkezésre bocsátandó információk, ha az adatokat az Érintettől gyűjtik</w:t>
      </w:r>
      <w:bookmarkEnd w:id="21"/>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Abban az esetben, ha a Vállalkozás a személyes adatokat az Érintettől gyűjti, a fentieken túl köteles az Érintettet tájékoztatni arról, hogy a személyes adat szolgáltatása jogszabályon vagy szerződéses kötelezettségen alapul vagy szerződés kötésének előfeltétele-e, valamint hogy az </w:t>
      </w:r>
      <w:r w:rsidRPr="00DE350A">
        <w:rPr>
          <w:rFonts w:ascii="Times New Roman" w:hAnsi="Times New Roman" w:cs="Times New Roman"/>
          <w:sz w:val="24"/>
          <w:szCs w:val="24"/>
          <w:lang w:val="hu-HU"/>
        </w:rPr>
        <w:lastRenderedPageBreak/>
        <w:t>érintett köteles-e a személyes adatokat megadni, továbbá hogy milyen lehetséges következményeikkel járhat az adatszolgáltatás elmaradása.</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tájékoztatást a személyes adatok megszerzésének időpontjában szükséges megadni. Amennyiben azonban az Érintett már rendelkezik a fenti információkkal, nem szükséges azokról őt tájékoztatni.</w:t>
      </w:r>
    </w:p>
    <w:p w:rsidR="006C63CE" w:rsidRPr="00DE350A" w:rsidRDefault="006C63CE" w:rsidP="006C63CE">
      <w:pPr>
        <w:pStyle w:val="Cmsor3"/>
        <w:numPr>
          <w:ilvl w:val="2"/>
          <w:numId w:val="32"/>
        </w:numPr>
        <w:spacing w:after="120"/>
        <w:jc w:val="both"/>
        <w:rPr>
          <w:rFonts w:ascii="Times New Roman" w:hAnsi="Times New Roman" w:cs="Times New Roman"/>
          <w:color w:val="auto"/>
        </w:rPr>
      </w:pPr>
      <w:bookmarkStart w:id="22" w:name="_Toc510709471"/>
      <w:r w:rsidRPr="00DE350A">
        <w:rPr>
          <w:rFonts w:ascii="Times New Roman" w:hAnsi="Times New Roman" w:cs="Times New Roman"/>
          <w:color w:val="auto"/>
        </w:rPr>
        <w:t>Rendelkezésre bocsátandó információk, ha az adatokat nem az Érintettől gyűjtik</w:t>
      </w:r>
      <w:bookmarkEnd w:id="22"/>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Abban az esetben, ha a Vállalkozás a személyes adatokat nem az Érintettől gyűjti, a fentieken túl köteles az Érintettet tájékoztatni az Érintett személyes kategóriáiról, valamint a személyes adatok forrásáról és adott esetben arról, hogy az adatok nyilvánosan hozzáférhető forrásokból származnak-e.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 következő időpontokban köteles a tájékoztatást megadni:</w:t>
      </w:r>
    </w:p>
    <w:p w:rsidR="006C63CE" w:rsidRPr="00DE350A" w:rsidRDefault="006C63CE" w:rsidP="006C63CE">
      <w:pPr>
        <w:pStyle w:val="Listaszerbekezds"/>
        <w:numPr>
          <w:ilvl w:val="0"/>
          <w:numId w:val="28"/>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személyes adatok kezelésének konkrét körülményeit tekintetbe véve, a személyes adatok megszerzésétől számított észszerű határidőn, de legkésőbb egy hónapon belül,</w:t>
      </w:r>
    </w:p>
    <w:p w:rsidR="006C63CE" w:rsidRPr="00DE350A" w:rsidRDefault="006C63CE" w:rsidP="006C63CE">
      <w:pPr>
        <w:pStyle w:val="Listaszerbekezds"/>
        <w:numPr>
          <w:ilvl w:val="0"/>
          <w:numId w:val="28"/>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ha a személyes adatokat az Érintettel való kapcsolattartás céljára használják, legalább az Érintettel való első kapcsolatfelvétel alkalmával vagy</w:t>
      </w:r>
    </w:p>
    <w:p w:rsidR="006C63CE" w:rsidRPr="00DE350A" w:rsidRDefault="006C63CE" w:rsidP="006C63CE">
      <w:pPr>
        <w:pStyle w:val="Listaszerbekezds"/>
        <w:numPr>
          <w:ilvl w:val="0"/>
          <w:numId w:val="28"/>
        </w:numPr>
        <w:spacing w:before="6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ha várhatóan más címzettel is közlik az adatokat, legkésőbb a személyes adatok első alkalommal való közlésekor.</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Nem szükséges a fenti adatok megadása, amennyiben </w:t>
      </w:r>
    </w:p>
    <w:p w:rsidR="006C63CE" w:rsidRPr="00DE350A" w:rsidRDefault="006C63CE" w:rsidP="006C63CE">
      <w:pPr>
        <w:pStyle w:val="Listaszerbekezds"/>
        <w:numPr>
          <w:ilvl w:val="0"/>
          <w:numId w:val="29"/>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shd w:val="clear" w:color="auto" w:fill="FFFFFF"/>
          <w:lang w:val="hu-HU"/>
        </w:rPr>
        <w:t>az Érintett már rendelkezik az információkkal</w:t>
      </w:r>
      <w:r w:rsidRPr="00DE350A">
        <w:rPr>
          <w:rFonts w:ascii="Times New Roman" w:hAnsi="Times New Roman" w:cs="Times New Roman"/>
          <w:sz w:val="24"/>
          <w:szCs w:val="24"/>
          <w:shd w:val="clear" w:color="auto" w:fill="FFFFFF"/>
          <w:lang w:val="de-DE"/>
        </w:rPr>
        <w:t>,</w:t>
      </w:r>
    </w:p>
    <w:p w:rsidR="006C63CE" w:rsidRPr="00DE350A" w:rsidRDefault="006C63CE" w:rsidP="006C63CE">
      <w:pPr>
        <w:pStyle w:val="Listaszerbekezds"/>
        <w:numPr>
          <w:ilvl w:val="0"/>
          <w:numId w:val="29"/>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szóban forgó információk rendelkezésre bocsátása lehetetlennek bizonyul vagy aránytalanul nagy erőfeszítést igényelne, különösen a közérdekű archiválás céljából, tudományos és történelmi kutatási célból vagy statisztikai célból, a GDPR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6C63CE" w:rsidRPr="00DE350A" w:rsidRDefault="006C63CE" w:rsidP="006C63CE">
      <w:pPr>
        <w:pStyle w:val="Listaszerbekezds"/>
        <w:numPr>
          <w:ilvl w:val="0"/>
          <w:numId w:val="29"/>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hAnsi="Times New Roman" w:cs="Times New Roman"/>
          <w:sz w:val="24"/>
          <w:szCs w:val="24"/>
          <w:shd w:val="clear" w:color="auto" w:fill="FFFFFF"/>
          <w:lang w:val="hu-HU"/>
        </w:rPr>
        <w:t xml:space="preserve">az adat megszerzését vagy közlését kifejezetten előírja az adatkezelőre alkalmazandó uniós vagy tagállami jog, amely az Érintett jogos érdekeinek védelmét szolgáló megfelelő intézkedésekről rendelkezik vagy </w:t>
      </w:r>
    </w:p>
    <w:p w:rsidR="006C63CE" w:rsidRPr="00DE350A" w:rsidRDefault="006C63CE" w:rsidP="006C63CE">
      <w:pPr>
        <w:pStyle w:val="Listaszerbekezds"/>
        <w:numPr>
          <w:ilvl w:val="0"/>
          <w:numId w:val="29"/>
        </w:numPr>
        <w:spacing w:before="6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 személyes adatoknak valamely uniós vagy tagállami jogban előírt szakmai titoktartási kötelezettség alapján, ideértve a jogszabályon alapuló titoktartási kötelezettséget is, bizalmasnak kell maradnia.</w:t>
      </w:r>
    </w:p>
    <w:p w:rsidR="006C63CE" w:rsidRPr="00DE350A" w:rsidRDefault="006C63CE" w:rsidP="006C63CE">
      <w:pPr>
        <w:pStyle w:val="Cmsor2"/>
        <w:jc w:val="both"/>
        <w:rPr>
          <w:rFonts w:ascii="Times New Roman" w:hAnsi="Times New Roman" w:cs="Times New Roman"/>
          <w:color w:val="auto"/>
          <w:sz w:val="24"/>
          <w:szCs w:val="24"/>
        </w:rPr>
      </w:pPr>
      <w:bookmarkStart w:id="23" w:name="_Toc510709472"/>
      <w:bookmarkStart w:id="24" w:name="_Ref509922869"/>
      <w:r w:rsidRPr="00DE350A">
        <w:rPr>
          <w:rFonts w:ascii="Times New Roman" w:hAnsi="Times New Roman" w:cs="Times New Roman"/>
          <w:color w:val="auto"/>
          <w:sz w:val="24"/>
          <w:szCs w:val="24"/>
        </w:rPr>
        <w:t>Érintetti jogok</w:t>
      </w:r>
      <w:bookmarkEnd w:id="23"/>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kérelmezheti a Vállalkozástól a rá vonatkozó személyes adatokhoz való hozzáférést, azok helyesbítését, törlését vagy kezelésének korlátozását, és tiltakozhat az ilyen személyes adatok kezelése ellen. A Érintettet megilleti továbbá az adathordozhatósághoz és a jogorvoslathoz való jog, valamint az egyedi ügyekben alkalmazott automatizált döntéshozatalról való döntés joga, beleértve a profilalkotást is.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lastRenderedPageBreak/>
        <w:t>Bizonyos érintetti jogokról a Vállalkozás az 4.1 pontban említett tájékoztató részeként köteles tájékoztatást nyújtani.</w:t>
      </w:r>
    </w:p>
    <w:p w:rsidR="006C63CE" w:rsidRPr="00DE350A" w:rsidRDefault="006C63CE" w:rsidP="006C63CE">
      <w:pPr>
        <w:pStyle w:val="Cmsor3"/>
        <w:numPr>
          <w:ilvl w:val="2"/>
          <w:numId w:val="33"/>
        </w:numPr>
        <w:spacing w:before="120" w:after="120"/>
        <w:jc w:val="both"/>
        <w:rPr>
          <w:rFonts w:ascii="Times New Roman" w:hAnsi="Times New Roman" w:cs="Times New Roman"/>
          <w:color w:val="auto"/>
        </w:rPr>
      </w:pPr>
      <w:bookmarkStart w:id="25" w:name="_Toc510709473"/>
      <w:r w:rsidRPr="00DE350A">
        <w:rPr>
          <w:rFonts w:ascii="Times New Roman" w:hAnsi="Times New Roman" w:cs="Times New Roman"/>
          <w:color w:val="auto"/>
        </w:rPr>
        <w:t>A hozzáféréshez való jog</w:t>
      </w:r>
      <w:bookmarkEnd w:id="24"/>
      <w:bookmarkEnd w:id="25"/>
      <w:r w:rsidRPr="00DE350A">
        <w:rPr>
          <w:rFonts w:ascii="Times New Roman" w:hAnsi="Times New Roman" w:cs="Times New Roman"/>
          <w:color w:val="auto"/>
        </w:rPr>
        <w:t xml:space="preserv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jogosult arra, hogy a Vállalkozástól visszajelzést kapjon arra vonatkozóan, hogy személyes adatainak kezelése folyamatban van-e, és ha ilyen adatkezelés folyamatban van, akkor jogosult arra, hogy a személyes adatokhoz és az alábbi információkhoz hozzáférést kapjon: </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adatkezelés céljai az adott személyes adat vonatkozásában, </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személyes adat kategóriái,</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azon címzettek kategóriái, akinek az érintett személyes adatait közölték vagy közölni fogják, ideértve különösen a harmadik országbeli címzetteket, ill. nemzetközi szervezeteket (a harmadik országbeli címzettek, továbbá a nemzetközi szervezetek részére történő adattovábbítás esetén az Érintett jogosult tájékoztatást kérni arra vonatkozóan, hogy az adattovábbítás megfelelő garanciák mellett történik-e),</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személyes adatok tárolásának tervezett időtartama, vagy ha ez nem lehetséges, ezen időtartam meghatározásának szempontjai,</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Érintettet megillető érintetti jogok (helyesbítés, törlés vagy korlátozás joga, az adathordozhatósághoz való jog, valamint a tiltakozás joga az ilyen személyes adatok kezelése ellen),</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valamely felügyeleti hatósághoz címzett panasz benyújtásának joga,</w:t>
      </w:r>
    </w:p>
    <w:p w:rsidR="006C63CE" w:rsidRPr="00DE350A" w:rsidRDefault="006C63CE" w:rsidP="006C63CE">
      <w:pPr>
        <w:pStyle w:val="Listaszerbekezds"/>
        <w:numPr>
          <w:ilvl w:val="0"/>
          <w:numId w:val="1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ha az adatot a Vállalkozás nem az Érintettől szerezte, akkor a forrásra vonatkozó minden elérhető információ,</w:t>
      </w:r>
    </w:p>
    <w:p w:rsidR="006C63CE" w:rsidRPr="00DE350A" w:rsidRDefault="006C63CE" w:rsidP="006C63CE">
      <w:pPr>
        <w:pStyle w:val="Listaszerbekezds"/>
        <w:numPr>
          <w:ilvl w:val="0"/>
          <w:numId w:val="10"/>
        </w:numPr>
        <w:spacing w:before="6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személyes adatra vonatkozó automatizált döntéshozatal ténye, ideértve a profilalkotást is; ha történik ilyen természetű adatkezelés, akkor a tájékoztatásnak ki kell terjednie az alkalmazott logikára és arra, hogy az ilyen adatkezelés milyen jelentőséggel bír, és az Érintettre nézve milyen várható következményekkel jár.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Ha az Érintett elektronikus úton nyújtotta be a kérelmét, a kért információkat széles körben használt elektronikus formában kell rendelkezésre bocsátani, kivéve, ha az Érintett másként kéri.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az Érintettől a kérelem teljesítését megelőzően, annak tartalmának pontosítását, a kérelmezett információk, illetve adatkezelési tevékenységek pontos megjelölését kérheti.</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Amennyiben az Érintett jelen pont szerinti hozzáférési joga hátrányosan érinti mások jogait és szabadságait, így különösen mások üzleti titkait vagy szellemi tulajdonát, a Vállalkozás jogosult az Érintett kérelmének teljesítését szükséges és arányos mértékben megtagadni.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Abban az esetben, amennyiben az Érintett a fenti tájékoztatást több példányban kéri, a Vállalkozás jogosult a többlet példányok elkészítésének adminisztratív költségeivel arányos és ésszerű mértékű díjat felszámítani.</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Amennyiben az Érintett által megjelölt személyes adatot a Vállalkozás nem kezeli, úgy erről is köteles az Érintettet írásban tájékoztatni. </w:t>
      </w:r>
    </w:p>
    <w:p w:rsidR="006C63CE" w:rsidRPr="00DE350A" w:rsidRDefault="006C63CE" w:rsidP="006C63CE">
      <w:pPr>
        <w:pStyle w:val="Cmsor3"/>
        <w:numPr>
          <w:ilvl w:val="2"/>
          <w:numId w:val="33"/>
        </w:numPr>
        <w:spacing w:before="120" w:after="120"/>
        <w:jc w:val="both"/>
        <w:rPr>
          <w:rFonts w:ascii="Times New Roman" w:hAnsi="Times New Roman" w:cs="Times New Roman"/>
          <w:color w:val="auto"/>
        </w:rPr>
      </w:pPr>
      <w:bookmarkStart w:id="26" w:name="_Toc510709474"/>
      <w:r w:rsidRPr="00DE350A">
        <w:rPr>
          <w:rFonts w:ascii="Times New Roman" w:hAnsi="Times New Roman" w:cs="Times New Roman"/>
          <w:color w:val="auto"/>
        </w:rPr>
        <w:lastRenderedPageBreak/>
        <w:t>A helyesbítéshez való jog</w:t>
      </w:r>
      <w:bookmarkEnd w:id="26"/>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jogosult ahhoz, hogy a reá vonatkozó személyes adatok helyesbítését kérje. Amennyiben az Érintettre vonatkozó személyes adatok hiányosak, úgy az Érintett jogosult a személyes adatok kiegészítését kérni.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helyesbítéshez/kiegészítéshez kapcsolódó jog gyakorlása során az Érintett köteles megjelölni, hogy mely adatok pontatlanok, illetve hiányosak, továbbá köteles a Vállalkozást a pontos, teljeskörű adatról is tájékoztatni. A Vállalkozás jogosult indokolt esetben az Érintettet felhívni arra, hogy a pontosított adatot megfelelő módon – elsősorban okirattal – bizonyítsa a Vállalkozás számára.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Vállalkozás az adatok helyesbítését, kiegészítését indokolatlan késedelem nélkül teljesíti.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az Érintett helyesbítéshez való jogának érvényesítésére irányuló kérelmének teljesítését követően haladéktalanul tájékoztatja azon személyeket, akikkel az Érintett személyes adatait közölte, feltéve, hogy az nem lehetetlen vagy nem igényel a Vállalkozástól aránytalan erőfeszítést. Az Érintettet kérésére a Vállalkozás tájékoztatja ezen címzettekről.</w:t>
      </w:r>
    </w:p>
    <w:p w:rsidR="006C63CE" w:rsidRPr="00DE350A" w:rsidRDefault="006C63CE" w:rsidP="006C63CE">
      <w:pPr>
        <w:pStyle w:val="Cmsor3"/>
        <w:numPr>
          <w:ilvl w:val="2"/>
          <w:numId w:val="33"/>
        </w:numPr>
        <w:spacing w:before="120" w:after="120"/>
        <w:jc w:val="both"/>
        <w:rPr>
          <w:rFonts w:ascii="Times New Roman" w:hAnsi="Times New Roman" w:cs="Times New Roman"/>
          <w:color w:val="auto"/>
        </w:rPr>
      </w:pPr>
      <w:bookmarkStart w:id="27" w:name="_Toc510709475"/>
      <w:r w:rsidRPr="00DE350A">
        <w:rPr>
          <w:rFonts w:ascii="Times New Roman" w:hAnsi="Times New Roman" w:cs="Times New Roman"/>
          <w:color w:val="auto"/>
        </w:rPr>
        <w:t>A törléshez való jog („az elfeledtetéshez való jog”)</w:t>
      </w:r>
      <w:bookmarkEnd w:id="27"/>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jogosult indítványozni, hogy a Vállalkozás a reá vonatkozó személyes adato(ka)t indokolatlan késedelem nélkül törölje, amennyiben az alábbi indokok valamelyike fennáll:</w:t>
      </w:r>
    </w:p>
    <w:p w:rsidR="006C63CE" w:rsidRPr="00DE350A" w:rsidRDefault="006C63CE" w:rsidP="006C63CE">
      <w:pPr>
        <w:numPr>
          <w:ilvl w:val="0"/>
          <w:numId w:val="11"/>
        </w:numPr>
        <w:spacing w:before="60" w:after="0"/>
        <w:ind w:left="992" w:hanging="635"/>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által megjelölt személyes adatra nincsen szükség abból a célból, amelyből azokat a Vállalkozás gyűjtötte vagy más módon kezelte,</w:t>
      </w:r>
    </w:p>
    <w:p w:rsidR="006C63CE" w:rsidRPr="00DE350A" w:rsidRDefault="006C63CE" w:rsidP="006C63CE">
      <w:pPr>
        <w:numPr>
          <w:ilvl w:val="0"/>
          <w:numId w:val="11"/>
        </w:numPr>
        <w:spacing w:before="60" w:after="0"/>
        <w:ind w:left="992" w:hanging="635"/>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 személyes adatot (ideértve a különleges adatot is) az Érintett hozzájárulása alapján kezelte, az Érintett a hozzájárulását írásban visszavonta és az adatkezelésnek nincs más jogalapja,</w:t>
      </w:r>
    </w:p>
    <w:p w:rsidR="006C63CE" w:rsidRPr="00DE350A" w:rsidRDefault="006C63CE" w:rsidP="006C63CE">
      <w:pPr>
        <w:numPr>
          <w:ilvl w:val="0"/>
          <w:numId w:val="11"/>
        </w:numPr>
        <w:spacing w:before="60" w:after="0"/>
        <w:ind w:left="992" w:hanging="635"/>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a Vállalkozás jogos érdekén alapuló adatkezelés tekintetében tiltakozik az adatkezelés ellen, és nincs a Vállalkozás számára olyan kényszerítő erejű jogos ok, amely elsőbbséget élvez az Érintett érdekeivel, jogaival és szabadságaival szemben, vagy amelyek jogi igények előterjesztéséhez, érvényesítéséhez vagy védelméhez kapcsolódnak,</w:t>
      </w:r>
    </w:p>
    <w:p w:rsidR="006C63CE" w:rsidRPr="00DE350A" w:rsidRDefault="006C63CE" w:rsidP="006C63CE">
      <w:pPr>
        <w:numPr>
          <w:ilvl w:val="0"/>
          <w:numId w:val="11"/>
        </w:numPr>
        <w:spacing w:before="60" w:after="0"/>
        <w:ind w:left="992" w:hanging="635"/>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 személyes adatot jogellenesen kezelte,</w:t>
      </w:r>
    </w:p>
    <w:p w:rsidR="006C63CE" w:rsidRPr="00DE350A" w:rsidRDefault="006C63CE" w:rsidP="006C63CE">
      <w:pPr>
        <w:numPr>
          <w:ilvl w:val="0"/>
          <w:numId w:val="11"/>
        </w:numPr>
        <w:spacing w:before="60" w:after="0"/>
        <w:ind w:left="992" w:hanging="635"/>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által kezelt adatot a Vállalkozásra alkalmazandó uniós vagy nemzeti jogban előírt jogszabályi kötelezettség teljesítéséhez törölni kell,</w:t>
      </w:r>
    </w:p>
    <w:p w:rsidR="006C63CE" w:rsidRPr="00DE350A" w:rsidRDefault="006C63CE" w:rsidP="006C63CE">
      <w:pPr>
        <w:numPr>
          <w:ilvl w:val="0"/>
          <w:numId w:val="11"/>
        </w:numPr>
        <w:spacing w:before="60"/>
        <w:ind w:left="992" w:hanging="635"/>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az adatkezelés ellen tiltakozik és nincs elsőbbséget élvező ok az adatkezelésre.</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a törléshez kapcsolódó kérelmét írásban köteles előterjeszteni és köteles megjelölni, hogy mely személyes adatot milyen okból kíván töröltetni.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törléshez kapcsolódó jog gyakorlása esetén a Vállalkozás a 4.3 pontban meghatározott eljárási szabályok figyelembe vételével köteles eljárni.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Amennyiben a Vállalkozás az Érintett törléshez kapcsolódó indítványának helyt ad, úgy a kezelt személyes adatot valamennyi nyilvántartásából törli, és erről az Érintettet megfelelő módon tájékoztatja.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lastRenderedPageBreak/>
        <w:t xml:space="preserve">Abban az esetben, amennyiben a Vállalkozás az érintett személyes adatainak törlésére köteles, a Vállalkozás minden olyan ésszerű lépést megtesz – ideértve a technikai intézkedések alkalmazását is – amely ahhoz szükséges, hogy a személyes adatok kötelező törléséről tájékoztassa azon adatkezelőket is, akik az Érintett személyes adatait azok nyilvánosságra hozatala következtében ismerték meg. A Vállalkozás a tájékoztatójában arról köteles a többi adatkezelőt értesíteni, hogy az Érintett személyes adataira mutató linkek vagy e személyes adatok másolatának, illetve másolatpéldányának törlését az Érintett kérelmezte. </w:t>
      </w:r>
    </w:p>
    <w:p w:rsidR="006C63CE" w:rsidRPr="00DE350A" w:rsidRDefault="006C63CE" w:rsidP="006C63CE">
      <w:pPr>
        <w:widowControl w:val="0"/>
        <w:spacing w:after="120" w:line="240" w:lineRule="auto"/>
        <w:jc w:val="both"/>
        <w:outlineLvl w:val="2"/>
        <w:rPr>
          <w:rFonts w:ascii="Times New Roman" w:eastAsiaTheme="majorEastAsia" w:hAnsi="Times New Roman" w:cs="Times New Roman"/>
          <w:sz w:val="24"/>
          <w:szCs w:val="24"/>
          <w:lang w:val="hu-HU" w:eastAsia="hu-HU"/>
        </w:rPr>
      </w:pPr>
      <w:bookmarkStart w:id="28" w:name="_Toc509925053"/>
      <w:bookmarkStart w:id="29" w:name="_Toc509935649"/>
      <w:bookmarkStart w:id="30" w:name="_Toc509997705"/>
      <w:bookmarkStart w:id="31" w:name="_Toc510003351"/>
      <w:bookmarkStart w:id="32" w:name="_Toc510014168"/>
      <w:bookmarkStart w:id="33" w:name="_Toc510097665"/>
      <w:bookmarkStart w:id="34" w:name="_Toc510709476"/>
      <w:r w:rsidRPr="00DE350A">
        <w:rPr>
          <w:rFonts w:ascii="Times New Roman" w:eastAsiaTheme="majorEastAsia" w:hAnsi="Times New Roman" w:cs="Times New Roman"/>
          <w:sz w:val="24"/>
          <w:szCs w:val="24"/>
          <w:lang w:val="hu-HU" w:eastAsia="hu-HU"/>
        </w:rPr>
        <w:t xml:space="preserve">A </w:t>
      </w:r>
      <w:r w:rsidRPr="00DE350A">
        <w:rPr>
          <w:rFonts w:ascii="Times New Roman" w:hAnsi="Times New Roman" w:cs="Times New Roman"/>
          <w:sz w:val="24"/>
          <w:szCs w:val="24"/>
          <w:lang w:val="hu-HU"/>
        </w:rPr>
        <w:t>Vállalkozás</w:t>
      </w:r>
      <w:r w:rsidRPr="00DE350A">
        <w:rPr>
          <w:rFonts w:ascii="Times New Roman" w:eastAsiaTheme="majorEastAsia" w:hAnsi="Times New Roman" w:cs="Times New Roman"/>
          <w:sz w:val="24"/>
          <w:szCs w:val="24"/>
          <w:lang w:val="hu-HU" w:eastAsia="hu-HU"/>
        </w:rPr>
        <w:t xml:space="preserve"> az Érintett törléshez való jogának érvényesítésére irányuló kérelmének teljesítését követően haladéktalanul tájékoztatja azon személyeket, akikkel az Érintett személyes adatait közölte, feltéve, hogy az nem lehetetlen vagy nem igényel a </w:t>
      </w:r>
      <w:r w:rsidRPr="00DE350A">
        <w:rPr>
          <w:rFonts w:ascii="Times New Roman" w:hAnsi="Times New Roman" w:cs="Times New Roman"/>
          <w:sz w:val="24"/>
          <w:szCs w:val="24"/>
          <w:lang w:val="hu-HU"/>
        </w:rPr>
        <w:t>Vállalkozás</w:t>
      </w:r>
      <w:r w:rsidRPr="00DE350A">
        <w:rPr>
          <w:rFonts w:ascii="Times New Roman" w:eastAsiaTheme="majorEastAsia" w:hAnsi="Times New Roman" w:cs="Times New Roman"/>
          <w:sz w:val="24"/>
          <w:szCs w:val="24"/>
          <w:lang w:val="hu-HU" w:eastAsia="hu-HU"/>
        </w:rPr>
        <w:t xml:space="preserve">tól aránytalan erőfeszítést. Az </w:t>
      </w:r>
      <w:r w:rsidRPr="00DE350A">
        <w:rPr>
          <w:rFonts w:ascii="Times New Roman" w:hAnsi="Times New Roman" w:cs="Times New Roman"/>
          <w:sz w:val="24"/>
          <w:szCs w:val="24"/>
          <w:lang w:val="hu-HU"/>
        </w:rPr>
        <w:t>Érintett</w:t>
      </w:r>
      <w:r w:rsidRPr="00DE350A">
        <w:rPr>
          <w:rFonts w:ascii="Times New Roman" w:eastAsiaTheme="majorEastAsia" w:hAnsi="Times New Roman" w:cs="Times New Roman"/>
          <w:sz w:val="24"/>
          <w:szCs w:val="24"/>
          <w:lang w:val="hu-HU" w:eastAsia="hu-HU"/>
        </w:rPr>
        <w:t xml:space="preserve">et kérésére a </w:t>
      </w:r>
      <w:r w:rsidRPr="00DE350A">
        <w:rPr>
          <w:rFonts w:ascii="Times New Roman" w:hAnsi="Times New Roman" w:cs="Times New Roman"/>
          <w:sz w:val="24"/>
          <w:szCs w:val="24"/>
          <w:lang w:val="hu-HU"/>
        </w:rPr>
        <w:t>Vállalkozás</w:t>
      </w:r>
      <w:r w:rsidRPr="00DE350A">
        <w:rPr>
          <w:rFonts w:ascii="Times New Roman" w:eastAsiaTheme="majorEastAsia" w:hAnsi="Times New Roman" w:cs="Times New Roman"/>
          <w:sz w:val="24"/>
          <w:szCs w:val="24"/>
          <w:lang w:val="hu-HU" w:eastAsia="hu-HU"/>
        </w:rPr>
        <w:t xml:space="preserve"> tájékoztatja ezen címzettekről.</w:t>
      </w:r>
      <w:bookmarkEnd w:id="28"/>
      <w:bookmarkEnd w:id="29"/>
      <w:bookmarkEnd w:id="30"/>
      <w:bookmarkEnd w:id="31"/>
      <w:bookmarkEnd w:id="32"/>
      <w:bookmarkEnd w:id="33"/>
      <w:bookmarkEnd w:id="34"/>
    </w:p>
    <w:p w:rsidR="006C63CE" w:rsidRPr="00DE350A" w:rsidRDefault="006C63CE" w:rsidP="006C63CE">
      <w:pPr>
        <w:widowControl w:val="0"/>
        <w:spacing w:after="120" w:line="240" w:lineRule="auto"/>
        <w:jc w:val="both"/>
        <w:outlineLvl w:val="2"/>
        <w:rPr>
          <w:rFonts w:ascii="Times New Roman" w:eastAsiaTheme="majorEastAsia" w:hAnsi="Times New Roman" w:cs="Times New Roman"/>
          <w:sz w:val="24"/>
          <w:szCs w:val="24"/>
          <w:lang w:val="hu-HU" w:eastAsia="hu-HU"/>
        </w:rPr>
      </w:pPr>
      <w:bookmarkStart w:id="35" w:name="_Toc509925054"/>
      <w:bookmarkStart w:id="36" w:name="_Toc509935650"/>
      <w:bookmarkStart w:id="37" w:name="_Toc509997706"/>
      <w:bookmarkStart w:id="38" w:name="_Toc510003352"/>
      <w:bookmarkStart w:id="39" w:name="_Toc510014169"/>
      <w:bookmarkStart w:id="40" w:name="_Toc510097666"/>
      <w:bookmarkStart w:id="41" w:name="_Toc510709477"/>
      <w:r w:rsidRPr="00DE350A">
        <w:rPr>
          <w:rFonts w:ascii="Times New Roman" w:eastAsiaTheme="majorEastAsia" w:hAnsi="Times New Roman" w:cs="Times New Roman"/>
          <w:sz w:val="24"/>
          <w:szCs w:val="24"/>
          <w:lang w:val="hu-HU" w:eastAsia="hu-HU"/>
        </w:rPr>
        <w:t xml:space="preserve">A </w:t>
      </w:r>
      <w:r w:rsidRPr="00DE350A">
        <w:rPr>
          <w:rFonts w:ascii="Times New Roman" w:hAnsi="Times New Roman" w:cs="Times New Roman"/>
          <w:sz w:val="24"/>
          <w:szCs w:val="24"/>
          <w:lang w:val="hu-HU"/>
        </w:rPr>
        <w:t>Vállalkozás</w:t>
      </w:r>
      <w:r w:rsidRPr="00DE350A">
        <w:rPr>
          <w:rFonts w:ascii="Times New Roman" w:eastAsiaTheme="majorEastAsia" w:hAnsi="Times New Roman" w:cs="Times New Roman"/>
          <w:sz w:val="24"/>
          <w:szCs w:val="24"/>
          <w:lang w:val="hu-HU" w:eastAsia="hu-HU"/>
        </w:rPr>
        <w:t xml:space="preserve"> nem köteles a személyes adatok törlésére abban az esetben, ha az adatkezelés szükséges:</w:t>
      </w:r>
      <w:bookmarkEnd w:id="35"/>
      <w:bookmarkEnd w:id="36"/>
      <w:bookmarkEnd w:id="37"/>
      <w:bookmarkEnd w:id="38"/>
      <w:bookmarkEnd w:id="39"/>
      <w:bookmarkEnd w:id="40"/>
      <w:bookmarkEnd w:id="41"/>
      <w:r w:rsidRPr="00DE350A">
        <w:rPr>
          <w:rFonts w:ascii="Times New Roman" w:eastAsiaTheme="majorEastAsia" w:hAnsi="Times New Roman" w:cs="Times New Roman"/>
          <w:sz w:val="24"/>
          <w:szCs w:val="24"/>
          <w:lang w:val="hu-HU" w:eastAsia="hu-HU"/>
        </w:rPr>
        <w:t xml:space="preserve"> </w:t>
      </w:r>
    </w:p>
    <w:p w:rsidR="006C63CE" w:rsidRPr="00DE350A" w:rsidRDefault="006C63CE" w:rsidP="006C63CE">
      <w:pPr>
        <w:numPr>
          <w:ilvl w:val="0"/>
          <w:numId w:val="12"/>
        </w:numPr>
        <w:spacing w:after="60" w:line="240" w:lineRule="auto"/>
        <w:ind w:left="993" w:hanging="633"/>
        <w:jc w:val="both"/>
        <w:rPr>
          <w:rFonts w:ascii="Times New Roman" w:eastAsiaTheme="minorEastAsia" w:hAnsi="Times New Roman" w:cs="Times New Roman"/>
          <w:sz w:val="24"/>
          <w:szCs w:val="24"/>
          <w:lang w:val="hu-HU" w:eastAsia="hu-HU"/>
        </w:rPr>
      </w:pPr>
      <w:r w:rsidRPr="00DE350A">
        <w:rPr>
          <w:rFonts w:ascii="Times New Roman" w:eastAsiaTheme="minorEastAsia" w:hAnsi="Times New Roman" w:cs="Times New Roman"/>
          <w:sz w:val="24"/>
          <w:szCs w:val="24"/>
          <w:lang w:val="hu-HU" w:eastAsia="hu-HU"/>
        </w:rPr>
        <w:t>a véleménynyilvánítás szabadságához és a tájékozódáshoz való jog gyakorlásához,</w:t>
      </w:r>
    </w:p>
    <w:p w:rsidR="006C63CE" w:rsidRPr="00DE350A" w:rsidRDefault="006C63CE" w:rsidP="006C63CE">
      <w:pPr>
        <w:numPr>
          <w:ilvl w:val="0"/>
          <w:numId w:val="12"/>
        </w:numPr>
        <w:spacing w:after="60" w:line="240" w:lineRule="auto"/>
        <w:ind w:left="993" w:hanging="633"/>
        <w:jc w:val="both"/>
        <w:rPr>
          <w:rFonts w:ascii="Times New Roman" w:eastAsiaTheme="minorEastAsia" w:hAnsi="Times New Roman" w:cs="Times New Roman"/>
          <w:sz w:val="24"/>
          <w:szCs w:val="24"/>
          <w:lang w:val="hu-HU" w:eastAsia="hu-HU"/>
        </w:rPr>
      </w:pPr>
      <w:r w:rsidRPr="00DE350A">
        <w:rPr>
          <w:rFonts w:ascii="Times New Roman" w:eastAsiaTheme="minorEastAsia" w:hAnsi="Times New Roman" w:cs="Times New Roman"/>
          <w:sz w:val="24"/>
          <w:szCs w:val="24"/>
          <w:lang w:val="hu-HU" w:eastAsia="hu-HU"/>
        </w:rPr>
        <w:t xml:space="preserve">a magyar vagy európai uniós jogszabály által a </w:t>
      </w:r>
      <w:r w:rsidRPr="00DE350A">
        <w:rPr>
          <w:rFonts w:ascii="Times New Roman" w:hAnsi="Times New Roman" w:cs="Times New Roman"/>
          <w:sz w:val="24"/>
          <w:szCs w:val="24"/>
          <w:lang w:val="hu-HU"/>
        </w:rPr>
        <w:t>Vállalkozás</w:t>
      </w:r>
      <w:r w:rsidRPr="00DE350A">
        <w:rPr>
          <w:rFonts w:ascii="Times New Roman" w:eastAsiaTheme="minorEastAsia" w:hAnsi="Times New Roman" w:cs="Times New Roman"/>
          <w:sz w:val="24"/>
          <w:szCs w:val="24"/>
          <w:lang w:val="hu-HU" w:eastAsia="hu-HU"/>
        </w:rPr>
        <w:t>ra telepített személyes adatok kezelésére irányuló kötelezettség teljesítéséhez,</w:t>
      </w:r>
    </w:p>
    <w:p w:rsidR="006C63CE" w:rsidRPr="00DE350A" w:rsidRDefault="006C63CE" w:rsidP="006C63CE">
      <w:pPr>
        <w:numPr>
          <w:ilvl w:val="0"/>
          <w:numId w:val="12"/>
        </w:numPr>
        <w:spacing w:after="60" w:line="240" w:lineRule="auto"/>
        <w:ind w:left="993" w:hanging="633"/>
        <w:jc w:val="both"/>
        <w:rPr>
          <w:rFonts w:ascii="Times New Roman" w:eastAsiaTheme="minorEastAsia" w:hAnsi="Times New Roman" w:cs="Times New Roman"/>
          <w:sz w:val="24"/>
          <w:szCs w:val="24"/>
          <w:lang w:val="hu-HU" w:eastAsia="hu-HU"/>
        </w:rPr>
      </w:pPr>
      <w:r w:rsidRPr="00DE350A">
        <w:rPr>
          <w:rFonts w:ascii="Times New Roman" w:eastAsiaTheme="minorEastAsia" w:hAnsi="Times New Roman" w:cs="Times New Roman"/>
          <w:sz w:val="24"/>
          <w:szCs w:val="24"/>
          <w:lang w:val="hu-HU" w:eastAsia="hu-HU"/>
        </w:rPr>
        <w:t xml:space="preserve">közérdekből vagy a </w:t>
      </w:r>
      <w:r w:rsidRPr="00DE350A">
        <w:rPr>
          <w:rFonts w:ascii="Times New Roman" w:hAnsi="Times New Roman" w:cs="Times New Roman"/>
          <w:sz w:val="24"/>
          <w:szCs w:val="24"/>
          <w:lang w:val="hu-HU"/>
        </w:rPr>
        <w:t>Vállalkozás</w:t>
      </w:r>
      <w:r w:rsidRPr="00DE350A">
        <w:rPr>
          <w:rFonts w:ascii="Times New Roman" w:eastAsiaTheme="minorEastAsia" w:hAnsi="Times New Roman" w:cs="Times New Roman"/>
          <w:sz w:val="24"/>
          <w:szCs w:val="24"/>
          <w:lang w:val="hu-HU" w:eastAsia="hu-HU"/>
        </w:rPr>
        <w:t>ra ruházott közhatalmi jogosítvány gyakorlása keretében végzett feladat végrehajtásához,</w:t>
      </w:r>
    </w:p>
    <w:p w:rsidR="006C63CE" w:rsidRPr="00DE350A" w:rsidRDefault="006C63CE" w:rsidP="006C63CE">
      <w:pPr>
        <w:numPr>
          <w:ilvl w:val="0"/>
          <w:numId w:val="12"/>
        </w:numPr>
        <w:spacing w:after="60" w:line="240" w:lineRule="auto"/>
        <w:ind w:left="993" w:hanging="633"/>
        <w:jc w:val="both"/>
        <w:rPr>
          <w:rFonts w:ascii="Times New Roman" w:eastAsiaTheme="minorEastAsia" w:hAnsi="Times New Roman" w:cs="Times New Roman"/>
          <w:sz w:val="24"/>
          <w:szCs w:val="24"/>
          <w:lang w:val="hu-HU" w:eastAsia="hu-HU"/>
        </w:rPr>
      </w:pPr>
      <w:r w:rsidRPr="00DE350A">
        <w:rPr>
          <w:rFonts w:ascii="Times New Roman" w:eastAsiaTheme="minorEastAsia" w:hAnsi="Times New Roman" w:cs="Times New Roman"/>
          <w:sz w:val="24"/>
          <w:szCs w:val="24"/>
          <w:lang w:val="hu-HU" w:eastAsia="hu-HU"/>
        </w:rPr>
        <w:t>a népegészségügy területét érintő közérdek megvalósításához,</w:t>
      </w:r>
    </w:p>
    <w:p w:rsidR="006C63CE" w:rsidRPr="00DE350A" w:rsidRDefault="006C63CE" w:rsidP="006C63CE">
      <w:pPr>
        <w:numPr>
          <w:ilvl w:val="0"/>
          <w:numId w:val="12"/>
        </w:numPr>
        <w:spacing w:after="60" w:line="240" w:lineRule="auto"/>
        <w:ind w:left="993" w:hanging="633"/>
        <w:jc w:val="both"/>
        <w:rPr>
          <w:rFonts w:ascii="Times New Roman" w:eastAsiaTheme="minorEastAsia" w:hAnsi="Times New Roman" w:cs="Times New Roman"/>
          <w:sz w:val="24"/>
          <w:szCs w:val="24"/>
          <w:lang w:val="hu-HU" w:eastAsia="hu-HU"/>
        </w:rPr>
      </w:pPr>
      <w:r w:rsidRPr="00DE350A">
        <w:rPr>
          <w:rFonts w:ascii="Times New Roman" w:eastAsiaTheme="minorEastAsia" w:hAnsi="Times New Roman" w:cs="Times New Roman"/>
          <w:sz w:val="24"/>
          <w:szCs w:val="24"/>
          <w:lang w:val="hu-HU" w:eastAsia="hu-HU"/>
        </w:rPr>
        <w:t>közérdekű archiválás céljából, tudományos és történelmi kutatási célból vagy statisztikai célból, feltéve, hogy az Érintett elfeledtetéshez való jogának gyakorlása következtében valószínűsíthetően lehetetlenné vagy komolyan veszélyeztetetté válna az adatkezelés,</w:t>
      </w:r>
    </w:p>
    <w:p w:rsidR="006C63CE" w:rsidRPr="00DE350A" w:rsidRDefault="006C63CE" w:rsidP="006C63CE">
      <w:pPr>
        <w:numPr>
          <w:ilvl w:val="0"/>
          <w:numId w:val="12"/>
        </w:numPr>
        <w:tabs>
          <w:tab w:val="num" w:pos="1701"/>
        </w:tabs>
        <w:spacing w:after="60" w:line="240" w:lineRule="auto"/>
        <w:ind w:left="993" w:hanging="633"/>
        <w:jc w:val="both"/>
        <w:rPr>
          <w:rFonts w:ascii="Times New Roman" w:eastAsiaTheme="minorEastAsia" w:hAnsi="Times New Roman" w:cs="Times New Roman"/>
          <w:sz w:val="24"/>
          <w:szCs w:val="24"/>
          <w:lang w:val="hu-HU" w:eastAsia="hu-HU"/>
        </w:rPr>
      </w:pPr>
      <w:r w:rsidRPr="00DE350A">
        <w:rPr>
          <w:rFonts w:ascii="Times New Roman" w:hAnsi="Times New Roman" w:cs="Times New Roman"/>
          <w:sz w:val="24"/>
          <w:szCs w:val="24"/>
          <w:lang w:val="hu-HU"/>
        </w:rPr>
        <w:t>jogi igények előterjesztéséhez, érvényesítéséhez, illetve védelméhez.</w:t>
      </w:r>
    </w:p>
    <w:p w:rsidR="006C63CE" w:rsidRPr="00DE350A" w:rsidRDefault="006C63CE" w:rsidP="006C63CE">
      <w:pPr>
        <w:pStyle w:val="Cmsor3"/>
        <w:numPr>
          <w:ilvl w:val="2"/>
          <w:numId w:val="33"/>
        </w:numPr>
        <w:spacing w:before="120" w:after="120"/>
        <w:jc w:val="both"/>
        <w:rPr>
          <w:rFonts w:ascii="Times New Roman" w:hAnsi="Times New Roman" w:cs="Times New Roman"/>
          <w:color w:val="auto"/>
        </w:rPr>
      </w:pPr>
      <w:bookmarkStart w:id="42" w:name="_Toc510709478"/>
      <w:r w:rsidRPr="00DE350A">
        <w:rPr>
          <w:rFonts w:ascii="Times New Roman" w:hAnsi="Times New Roman" w:cs="Times New Roman"/>
          <w:color w:val="auto"/>
        </w:rPr>
        <w:t>Az adatkezelés korlátozásához való jog</w:t>
      </w:r>
      <w:bookmarkEnd w:id="42"/>
      <w:r w:rsidRPr="00DE350A">
        <w:rPr>
          <w:rFonts w:ascii="Times New Roman" w:hAnsi="Times New Roman" w:cs="Times New Roman"/>
          <w:color w:val="auto"/>
        </w:rPr>
        <w:t xml:space="preserv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jogosult indítványozni, hogy a Vállalkozás a reá vonatkozó személyes adato(k) kezelését, felhasználását korlátozza, amennyiben az alábbi indokok valamelyike fennáll:</w:t>
      </w:r>
    </w:p>
    <w:p w:rsidR="006C63CE" w:rsidRPr="00DE350A" w:rsidRDefault="006C63CE" w:rsidP="006C63CE">
      <w:pPr>
        <w:pStyle w:val="Listaszerbekezds"/>
        <w:numPr>
          <w:ilvl w:val="0"/>
          <w:numId w:val="13"/>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vitatja a személyes adatok pontosságát (ebben az esetben a korlátozás addig tart, amíg a Vállalkozás ellenőrzi az adat pontosságát),</w:t>
      </w:r>
    </w:p>
    <w:p w:rsidR="006C63CE" w:rsidRPr="00DE350A" w:rsidRDefault="006C63CE" w:rsidP="006C63CE">
      <w:pPr>
        <w:pStyle w:val="Listaszerbekezds"/>
        <w:numPr>
          <w:ilvl w:val="0"/>
          <w:numId w:val="13"/>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 személyes adatot jogellenesen kezelte, de az Érintett törlés helyett korlátozást kér,</w:t>
      </w:r>
    </w:p>
    <w:p w:rsidR="006C63CE" w:rsidRPr="00DE350A" w:rsidRDefault="006C63CE" w:rsidP="006C63CE">
      <w:pPr>
        <w:pStyle w:val="Listaszerbekezds"/>
        <w:numPr>
          <w:ilvl w:val="0"/>
          <w:numId w:val="13"/>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számára az adatkezelés célja megszűnt, de az Érintett igényli azokat jogi igények előterjesztéséhez, érvényesítéséhez vagy védelméhez,</w:t>
      </w:r>
    </w:p>
    <w:p w:rsidR="006C63CE" w:rsidRPr="00DE350A" w:rsidRDefault="006C63CE" w:rsidP="006C63CE">
      <w:pPr>
        <w:pStyle w:val="Listaszerbekezds"/>
        <w:numPr>
          <w:ilvl w:val="0"/>
          <w:numId w:val="13"/>
        </w:numPr>
        <w:spacing w:before="6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a Vállalkozás jogos érdekén alapuló adatkezelés tekintetében tiltakozik az adatkezelés ellen, és nincs a Vállalkozás számára olyan kényszerítő erejű jogos ok, amely elsőbbséget élvez az Érintett érdekeivel, jogaival és szabadságaival szemben, vagy amelyek jogi igények előterjesztéséhez, érvényesítéséhez vagy védelméhez kapcsolódnak; ebben az esetben a korlátozás addig áll fenn, amíg megállapításra nem kerül, hogy a Vállalkozás jogos indokai elsőbbséget élveznek-e az Érintett jogos indokaival szemben.</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Korlátozás esetén a személyes adatokat a tárolás kivételével csak az Érintett hozzájárulásával vagy jogi igények előterjesztéséhez, érvényesítéséhez vagy védelméhez, vagy más természetes </w:t>
      </w:r>
      <w:r w:rsidRPr="00DE350A">
        <w:rPr>
          <w:rFonts w:ascii="Times New Roman" w:hAnsi="Times New Roman" w:cs="Times New Roman"/>
          <w:sz w:val="24"/>
          <w:szCs w:val="24"/>
          <w:lang w:val="hu-HU"/>
        </w:rPr>
        <w:lastRenderedPageBreak/>
        <w:t xml:space="preserve">vagy jogi személy jogainak védelme érdekében vagy uniós, illetve valamely európai uniós tagállam fontos közérdekből lehet kezelni. </w:t>
      </w:r>
    </w:p>
    <w:p w:rsidR="006C63CE" w:rsidRPr="00DE350A" w:rsidRDefault="006C63CE" w:rsidP="006C63CE">
      <w:pPr>
        <w:pStyle w:val="Bekezdsszmozott2"/>
        <w:numPr>
          <w:ilvl w:val="0"/>
          <w:numId w:val="0"/>
        </w:numPr>
        <w:rPr>
          <w:rFonts w:ascii="Times New Roman" w:hAnsi="Times New Roman" w:cs="Times New Roman"/>
          <w:b/>
          <w:color w:val="auto"/>
          <w:sz w:val="24"/>
        </w:rPr>
      </w:pPr>
      <w:bookmarkStart w:id="43" w:name="_Toc509925056"/>
      <w:bookmarkStart w:id="44" w:name="_Toc509935652"/>
      <w:bookmarkStart w:id="45" w:name="_Toc509997708"/>
      <w:bookmarkStart w:id="46" w:name="_Toc510003354"/>
      <w:bookmarkStart w:id="47" w:name="_Toc510014171"/>
      <w:bookmarkStart w:id="48" w:name="_Toc510097668"/>
      <w:bookmarkStart w:id="49" w:name="_Toc510709479"/>
      <w:r w:rsidRPr="00DE350A">
        <w:rPr>
          <w:rFonts w:ascii="Times New Roman" w:hAnsi="Times New Roman" w:cs="Times New Roman"/>
          <w:color w:val="auto"/>
          <w:sz w:val="24"/>
        </w:rPr>
        <w:t>A Vállalkozás az adatkezelés korlátozásának feloldásáról az Érintettet előzetesen tájékoztatja.</w:t>
      </w:r>
      <w:bookmarkEnd w:id="43"/>
      <w:bookmarkEnd w:id="44"/>
      <w:bookmarkEnd w:id="45"/>
      <w:bookmarkEnd w:id="46"/>
      <w:bookmarkEnd w:id="47"/>
      <w:bookmarkEnd w:id="48"/>
      <w:bookmarkEnd w:id="49"/>
      <w:r w:rsidRPr="00DE350A">
        <w:rPr>
          <w:rFonts w:ascii="Times New Roman" w:hAnsi="Times New Roman" w:cs="Times New Roman"/>
          <w:b/>
          <w:color w:val="auto"/>
          <w:sz w:val="24"/>
        </w:rPr>
        <w:t xml:space="preserv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az Érintett korlátozásához való jogának érvényesítésére irányuló kérelmének teljesítését követően haladéktalanul tájékoztatja azon személyeket, akikkel az Érintett személyes adatait közölte, feltéve, hogy az nem lehetetlen vagy nem igényel a Vállalkozástól aránytalan erőfeszítést. Az Érintettet kérésére a Vállalkozás tájékoztatja ezen címzettekről.</w:t>
      </w:r>
    </w:p>
    <w:p w:rsidR="006C63CE" w:rsidRPr="00DE350A" w:rsidRDefault="006C63CE" w:rsidP="006C63CE">
      <w:pPr>
        <w:pStyle w:val="Cmsor3"/>
        <w:numPr>
          <w:ilvl w:val="2"/>
          <w:numId w:val="33"/>
        </w:numPr>
        <w:spacing w:before="120" w:after="120"/>
        <w:jc w:val="both"/>
        <w:rPr>
          <w:rFonts w:ascii="Times New Roman" w:hAnsi="Times New Roman" w:cs="Times New Roman"/>
          <w:color w:val="auto"/>
        </w:rPr>
      </w:pPr>
      <w:bookmarkStart w:id="50" w:name="_Toc510709480"/>
      <w:r w:rsidRPr="00DE350A">
        <w:rPr>
          <w:rFonts w:ascii="Times New Roman" w:hAnsi="Times New Roman" w:cs="Times New Roman"/>
          <w:color w:val="auto"/>
        </w:rPr>
        <w:t>A tiltakozáshoz való jog</w:t>
      </w:r>
      <w:bookmarkEnd w:id="50"/>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Tekintettel arra, hogy a Vállalkozás nem végez közérdekű adatkezelést és közhatalmi jogosítványai sincsenek, nem végez tudományos vagy történelmi kutatást, illetve az adatkezelésre statisztikai célból sem kerül sor, így esetében a jogos érdeken alapuló adatkezelések esetén merülhet fel a tiltakozáshoz való jog gyakorlása.</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Amennyiben az Érintettek adatainak kezelésére jogos érdekre alapítottan kerül sor, fontos garanciális jellegű rendelkezés, hogy az Érintett számára az adatkezelés kapcsán biztosítani kell a megfelelő tájékoztatást és a tiltakozás jogának érvényesítését. A jelen jogra legkésőbb az Érintettel való első kapcsolatfelvétel során kifejezetten fel kell hívni a figyelmét.</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ennek alapján jogosult tiltakozni személyes adatainak kezelése ellen és ilyen esetben a Vállalkozás nem kezelheti tovább az Érintett személyes adatait, kivéve, ha bizonyítható, hogy </w:t>
      </w:r>
    </w:p>
    <w:p w:rsidR="006C63CE" w:rsidRPr="00DE350A" w:rsidRDefault="006C63CE" w:rsidP="006C63CE">
      <w:pPr>
        <w:numPr>
          <w:ilvl w:val="0"/>
          <w:numId w:val="26"/>
        </w:numPr>
        <w:spacing w:before="60" w:after="0"/>
        <w:ind w:left="714" w:hanging="357"/>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adatkezelést a Vállalkozás részéről olyan kényszerítő erejű jogos okok indokolják, amelyek elsőbbséget élveznek az érintett érdekeivel, jogaival és szabadságaival szemben vagy </w:t>
      </w:r>
    </w:p>
    <w:p w:rsidR="006C63CE" w:rsidRPr="00DE350A" w:rsidRDefault="006C63CE" w:rsidP="006C63CE">
      <w:pPr>
        <w:numPr>
          <w:ilvl w:val="0"/>
          <w:numId w:val="26"/>
        </w:numPr>
        <w:spacing w:before="60"/>
        <w:ind w:left="714" w:hanging="357"/>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 a Vállalkozás jogi igényeinek előterjesztéséhez, érvényesítéséhez vagy védelméhez kapcsolódik.</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51" w:name="_Toc509915859"/>
      <w:bookmarkStart w:id="52" w:name="_Toc510709481"/>
      <w:r w:rsidRPr="00DE350A">
        <w:rPr>
          <w:rFonts w:ascii="Times New Roman" w:hAnsi="Times New Roman" w:cs="Times New Roman"/>
          <w:color w:val="auto"/>
          <w:sz w:val="24"/>
        </w:rPr>
        <w:t>A tiltakozáshoz való jog közvetlen üzletszerzés esetén</w:t>
      </w:r>
      <w:bookmarkEnd w:id="51"/>
      <w:bookmarkEnd w:id="52"/>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 gyakorlatban leginkább direkt marketingként hivatkozott – közvetlen üzletszerzés érdekében történő adatkezelésről a GDPR is elismeri, hogy az ehhez kapcsolódó adatkezelések esetében a jogos érdek fennállását lehet vélelmezni.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a Vállalkozás által folytatott direkt marketing tevékenységek esetén tehát szintén jogosult tiltakozni személyes adatainak ezen célból történő kezelése ellen, az egyéb jogos érdeken alapuló adatkezeléssel ellentétben azonban a tiltakozás nyomán a Vállalkozásnak nem áll módjában mérlegelni, hogy az Érintett tiltakozása esetén mégis folytathatja-e az adatkezelést.</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Amennyiben az Érintett a direkt marketing célból történő adatkezelés ellen tiltakozik, úgy a továbbiakban az Érintett adatait a Vállalkozás ezen célból tovább nem kezelheti.</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53" w:name="_Toc509915860"/>
      <w:bookmarkStart w:id="54" w:name="_Toc510709482"/>
      <w:r w:rsidRPr="00DE350A">
        <w:rPr>
          <w:rFonts w:ascii="Times New Roman" w:hAnsi="Times New Roman" w:cs="Times New Roman"/>
          <w:color w:val="auto"/>
          <w:sz w:val="24"/>
        </w:rPr>
        <w:t>Profilalkotás</w:t>
      </w:r>
      <w:bookmarkEnd w:id="53"/>
      <w:bookmarkEnd w:id="54"/>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Profilalkotás során az Érintettekre vonatkozó személyes jellemzőket valamilyen automatizált módszerrel értékelik ki. Az ilyen értékelések felhasználhatók például az Érintett munkahelyi teljesítményhez, gazdasági helyzethez, egészségi állapothoz, személyes preferenciákhoz, érdeklődéshez, megbízhatósághoz, viselkedéshez, tartózkodási helyhez vagy mozgáshoz kapcsolódó jellemzőinek elemzésére vagy előrejelzésére.</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lastRenderedPageBreak/>
        <w:t>A tiltakozás joga kiterjed a jogos érdeken alapuló profilalkotásra, mint sajátos adatkezelési műveletre is. Amennyiben pedig direkt marketing célból kerül sor profilalkotásra, úgy az Érintett tiltakozása nyomán a személyes adatain alapuló profilalkotással is haladéktalanul fel kell hagyni.</w:t>
      </w:r>
    </w:p>
    <w:p w:rsidR="006C63CE" w:rsidRPr="00DE350A" w:rsidRDefault="006C63CE" w:rsidP="006C63CE">
      <w:pPr>
        <w:pStyle w:val="Cmsor3"/>
        <w:numPr>
          <w:ilvl w:val="2"/>
          <w:numId w:val="33"/>
        </w:numPr>
        <w:spacing w:before="120" w:after="120"/>
        <w:ind w:left="709"/>
        <w:jc w:val="both"/>
        <w:rPr>
          <w:rFonts w:ascii="Times New Roman" w:hAnsi="Times New Roman" w:cs="Times New Roman"/>
          <w:color w:val="auto"/>
        </w:rPr>
      </w:pPr>
      <w:bookmarkStart w:id="55" w:name="_Ref509922931"/>
      <w:bookmarkStart w:id="56" w:name="_Toc510709483"/>
      <w:r w:rsidRPr="00DE350A">
        <w:rPr>
          <w:rFonts w:ascii="Times New Roman" w:hAnsi="Times New Roman" w:cs="Times New Roman"/>
          <w:color w:val="auto"/>
        </w:rPr>
        <w:t>Az adathordozhatósághoz való jog</w:t>
      </w:r>
      <w:bookmarkEnd w:id="55"/>
      <w:bookmarkEnd w:id="56"/>
      <w:r w:rsidRPr="00DE350A">
        <w:rPr>
          <w:rFonts w:ascii="Times New Roman" w:hAnsi="Times New Roman" w:cs="Times New Roman"/>
          <w:color w:val="auto"/>
        </w:rPr>
        <w:t xml:space="preserv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jogosult arra, hogy a rá vonatkozó, a Vállalkozás által kezelt személyes adatokat tagolt, széles körben használt, géppel olvasható formátumban megkapja, továbbá jogosult arra, hogy ezeket az adatokat másik adatkezelőnek továbbítsa anélkül, hogy ezt a Vállalkozás akadályozná.</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adathordozhatósághoz való jog azon személyes adatok tekintetében gyakorolhatók, amelyeket az Érintett a Vállalkozás rendelkezésére bocsátott, és </w:t>
      </w:r>
    </w:p>
    <w:p w:rsidR="006C63CE" w:rsidRPr="00DE350A" w:rsidRDefault="006C63CE" w:rsidP="006C63CE">
      <w:pPr>
        <w:pStyle w:val="Listaszerbekezds"/>
        <w:numPr>
          <w:ilvl w:val="0"/>
          <w:numId w:val="3"/>
        </w:numPr>
        <w:spacing w:before="60" w:after="0"/>
        <w:ind w:left="1077"/>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hozzájárulásán vagy szerződéses jogalapon alapul az adatkezelés, és</w:t>
      </w:r>
    </w:p>
    <w:p w:rsidR="006C63CE" w:rsidRPr="00DE350A" w:rsidRDefault="006C63CE" w:rsidP="006C63CE">
      <w:pPr>
        <w:pStyle w:val="Listaszerbekezds"/>
        <w:numPr>
          <w:ilvl w:val="0"/>
          <w:numId w:val="3"/>
        </w:numPr>
        <w:spacing w:before="60"/>
        <w:ind w:left="1077"/>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adatkezelés automatizált módon történik. </w:t>
      </w:r>
    </w:p>
    <w:p w:rsidR="006C63CE" w:rsidRPr="00DE350A" w:rsidRDefault="006C63CE" w:rsidP="006C63CE">
      <w:pPr>
        <w:pStyle w:val="Bekezdsszmozott2"/>
        <w:numPr>
          <w:ilvl w:val="0"/>
          <w:numId w:val="0"/>
        </w:numPr>
        <w:rPr>
          <w:rFonts w:ascii="Times New Roman" w:hAnsi="Times New Roman" w:cs="Times New Roman"/>
          <w:color w:val="auto"/>
          <w:sz w:val="24"/>
        </w:rPr>
      </w:pPr>
      <w:bookmarkStart w:id="57" w:name="_Toc509935657"/>
      <w:bookmarkStart w:id="58" w:name="_Toc509997713"/>
      <w:bookmarkStart w:id="59" w:name="_Toc510003359"/>
      <w:bookmarkStart w:id="60" w:name="_Toc510014176"/>
      <w:bookmarkStart w:id="61" w:name="_Toc510097673"/>
      <w:bookmarkStart w:id="62" w:name="_Toc510709484"/>
      <w:r w:rsidRPr="00DE350A">
        <w:rPr>
          <w:rFonts w:ascii="Times New Roman" w:hAnsi="Times New Roman" w:cs="Times New Roman"/>
          <w:color w:val="auto"/>
          <w:sz w:val="24"/>
        </w:rPr>
        <w:t>Amennyiben az egyébként technikailag megvalósítható, a Vállalkozás az Érintett kérésére a személyes adatokat közvetlenül egy másik, az Érintett kérelmében megjelölt adatkezelő részére továbbítja. A jelen pont szerinti adathordozhatósághoz való jog nem teremt kötelezettséget arra vonatkozóan, hogy az adatkezelők egymással műszakilag kompatibilis adatkezelő rendszereket vezessenek be vagy tartsanak fenn.</w:t>
      </w:r>
      <w:bookmarkEnd w:id="57"/>
      <w:bookmarkEnd w:id="58"/>
      <w:bookmarkEnd w:id="59"/>
      <w:bookmarkEnd w:id="60"/>
      <w:bookmarkEnd w:id="61"/>
      <w:bookmarkEnd w:id="62"/>
      <w:r w:rsidRPr="00DE350A">
        <w:rPr>
          <w:rStyle w:val="Lbjegyzet-hivatkozs"/>
          <w:rFonts w:ascii="Times New Roman" w:hAnsi="Times New Roman" w:cs="Times New Roman"/>
          <w:color w:val="auto"/>
          <w:sz w:val="24"/>
        </w:rPr>
        <w:t xml:space="preserv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adathordozhatóság körében a Vállalkozás köteles ingyenesen az Érintett számára az adathordozót rendelkezésre bocsátani.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Abban az esetben, amennyiben a Vállalkozás adathordozhatósághoz való joga hátrányosan érinti mások jogait és szabadságait, így különösen mások üzleti titkait, vagy szellemi tulajdonát, a Vállalkozás jogosult az Érintett kérelmének teljesítését szükséges mértékben megtagadni.</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adathordozhatóság körében tett intézkedés nem jelenti az adatok törlését, azokat a Vállalkozás mindaddig nyilvántartja, ameddig az adatok kezelésére a Vállalkozás megfelelő céllal, illetve jogalappal rendelkezik. </w:t>
      </w:r>
    </w:p>
    <w:p w:rsidR="006C63CE" w:rsidRPr="00DE350A" w:rsidRDefault="006C63CE" w:rsidP="006C63CE">
      <w:pPr>
        <w:pStyle w:val="Cmsor3"/>
        <w:numPr>
          <w:ilvl w:val="2"/>
          <w:numId w:val="33"/>
        </w:numPr>
        <w:spacing w:before="120" w:after="120"/>
        <w:ind w:left="709"/>
        <w:jc w:val="both"/>
        <w:rPr>
          <w:rFonts w:ascii="Times New Roman" w:hAnsi="Times New Roman" w:cs="Times New Roman"/>
          <w:color w:val="auto"/>
        </w:rPr>
      </w:pPr>
      <w:bookmarkStart w:id="63" w:name="_Toc510709485"/>
      <w:r w:rsidRPr="00DE350A">
        <w:rPr>
          <w:rFonts w:ascii="Times New Roman" w:hAnsi="Times New Roman" w:cs="Times New Roman"/>
          <w:color w:val="auto"/>
        </w:rPr>
        <w:t>Egyedi ügyekben alkalmazott automatizált döntéshozatalról való döntés joga, beleértve a profilalkotást</w:t>
      </w:r>
      <w:bookmarkEnd w:id="63"/>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automatizált döntéshozatal fogalmát nem határozza meg a GDPR, lényegét tekintve azonban ide sorolható minden olyan folyamat, melynek nyomán a bevitt adatoknak kizárólag számítástechnikai eszközökkel, emberi beavatkozás nélkül végzett, előre meghatározott szempontok/algoritmus szerinti értékelése történik és ezen értékelés eredményeként olyan döntés születik, amely az érintettre jelentős következményekkel jár. A GDPR példaként hozza fel online hitelkérelmek automatikus döntéshozatallal történő elutasítását vagy az emberi beavatkozás nélkül végzett online munkaerő-kiválasztást.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Ezzel szemben a profilalkotás fogalmát a GDPR pontosan meghatározza rögzíti, mint az előző pontból is látható, ennek lényege, hogy az Érintettekre vonatkozó személyes jellemzőket valamilyen automatizált módszerrel értékelik ki. Amennyiben az Érintett személyes adataival kapcsolatosan a Vállalkozásnál automatizált döntéshozatal történik, ideértve a profilalkotást is, akkor az adatvédelmi tájékoztatóban erre utalni kell. Ebben az esetben az adatkezelési tájékoztató tartalmazza az alkalmazott logikára vonatkozó információt, továbbá azt, hogy az </w:t>
      </w:r>
      <w:r w:rsidRPr="00DE350A">
        <w:rPr>
          <w:rFonts w:ascii="Times New Roman" w:hAnsi="Times New Roman" w:cs="Times New Roman"/>
          <w:sz w:val="24"/>
          <w:szCs w:val="24"/>
          <w:lang w:val="hu-HU"/>
        </w:rPr>
        <w:lastRenderedPageBreak/>
        <w:t xml:space="preserve">ilyen adatkezelés az Érintettre nézve milyen jelentőséggel és milyen várható következményekkel bír.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Érintettet jogosult kérni, hogy ne terjedjen ki rá a kizárólag automatizált adatkezelésen – ideértve a profilalkotást is – alapuló döntés hatálya, amely rá nézve joghatással járna vagy őt hasonlóképpen jelentős mértékben érintené.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nem jogosult kérni az automatizált adatkezelésen alapuló döntés hatálya alóli mentesítését, ha a döntés szerződés megkötése vagy teljesítése érdekében szükséges, vagy a döntés meghozatalát európai uniós vagy tagállami jog teszi lehetővé vagy ha a döntés az Érintett kifejezett hozzájárulásán alapul.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Amennyiben az automatizált adatkezelés szerződés megkötése vagy teljesítése érdekében szükséges vagy az Érintett hozzájárulásán alapul, akkor az Érintettet megilleti az a jog, hogy a Vállalkozás részéről emberi beavatkozást kérjen, álláspontját kifejezze, és a döntéssel szemben kifogást nyújtson be.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adatkezelései során mindent megtesz a személyes adatok különleges kategóriáiba tartozó adatok automatizált döntéshozatalba történő bevonásának elkerülésére. Amennyiben azonban ez nem elkerülhető, akkor a személyes adatok különleges kategóriái vonatkozásában kizárólag akkor végezhető automatizált döntéshozatal, ha az adatkezelés az Érintett hozzájárulásán alapul vagy jelentős közérdek miatt szükséges európai uniós vagy tagállami jog alapján és az érintetti jogok védelme érdekében megfelelő intézkedések megtételére került sor.</w:t>
      </w:r>
    </w:p>
    <w:p w:rsidR="006C63CE" w:rsidRPr="00DE350A" w:rsidRDefault="006C63CE" w:rsidP="006C63CE">
      <w:pPr>
        <w:pStyle w:val="Cmsor3"/>
        <w:numPr>
          <w:ilvl w:val="2"/>
          <w:numId w:val="33"/>
        </w:numPr>
        <w:spacing w:before="120" w:after="120"/>
        <w:ind w:left="709"/>
        <w:jc w:val="both"/>
        <w:rPr>
          <w:rFonts w:ascii="Times New Roman" w:hAnsi="Times New Roman" w:cs="Times New Roman"/>
          <w:color w:val="auto"/>
        </w:rPr>
      </w:pPr>
      <w:bookmarkStart w:id="64" w:name="_Ref509909357"/>
      <w:bookmarkStart w:id="65" w:name="_Toc510709486"/>
      <w:r w:rsidRPr="00DE350A">
        <w:rPr>
          <w:rFonts w:ascii="Times New Roman" w:hAnsi="Times New Roman" w:cs="Times New Roman"/>
          <w:color w:val="auto"/>
        </w:rPr>
        <w:t>Jogorvoslathoz való jog</w:t>
      </w:r>
      <w:bookmarkEnd w:id="64"/>
      <w:bookmarkEnd w:id="65"/>
    </w:p>
    <w:p w:rsidR="006C63CE" w:rsidRPr="00DE350A" w:rsidRDefault="006C63CE" w:rsidP="006C63CE">
      <w:pPr>
        <w:pStyle w:val="Cmsor3"/>
        <w:numPr>
          <w:ilvl w:val="0"/>
          <w:numId w:val="0"/>
        </w:numPr>
        <w:spacing w:before="120" w:after="120"/>
        <w:ind w:left="-11"/>
        <w:jc w:val="both"/>
        <w:rPr>
          <w:rFonts w:ascii="Times New Roman" w:eastAsiaTheme="minorHAnsi" w:hAnsi="Times New Roman" w:cs="Times New Roman"/>
          <w:color w:val="auto"/>
        </w:rPr>
      </w:pPr>
      <w:r w:rsidRPr="00DE350A">
        <w:rPr>
          <w:rFonts w:ascii="Times New Roman" w:hAnsi="Times New Roman" w:cs="Times New Roman"/>
          <w:i/>
          <w:color w:val="auto"/>
        </w:rPr>
        <w:t>Az Info törvényben meghatározottak szerint.</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66" w:name="_Toc510709489"/>
      <w:r w:rsidRPr="00DE350A">
        <w:rPr>
          <w:rFonts w:ascii="Times New Roman" w:hAnsi="Times New Roman" w:cs="Times New Roman"/>
          <w:color w:val="auto"/>
          <w:sz w:val="24"/>
        </w:rPr>
        <w:t>Panasztételhez való jog</w:t>
      </w:r>
      <w:bookmarkEnd w:id="66"/>
    </w:p>
    <w:p w:rsidR="006C63CE" w:rsidRPr="00DE350A" w:rsidRDefault="006C63CE" w:rsidP="006C63CE">
      <w:pPr>
        <w:autoSpaceDE w:val="0"/>
        <w:autoSpaceDN w:val="0"/>
        <w:adjustRightInd w:val="0"/>
        <w:spacing w:after="120" w:line="240" w:lineRule="auto"/>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Ha az Érintett úgy ítéli meg, hogy a Vállalkozás általi személyes adatainak kezelése megsérti a mindenkor hatályos adatvédelmi jogszabályok, így különösen a GDPR, rendelkezéseit, jogában áll a Nemzeti Adatvédelmi és Információszabadság Hatóságnál panaszt benyújtani.</w:t>
      </w:r>
    </w:p>
    <w:p w:rsidR="006C63CE" w:rsidRPr="00DE350A" w:rsidRDefault="006C63CE" w:rsidP="006C63CE">
      <w:pPr>
        <w:autoSpaceDE w:val="0"/>
        <w:autoSpaceDN w:val="0"/>
        <w:adjustRightInd w:val="0"/>
        <w:spacing w:after="12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 Nemzeti Adatvédelmi és Információszabadság Hatóság elérhetőségei: </w:t>
      </w:r>
    </w:p>
    <w:p w:rsidR="006C63CE" w:rsidRPr="00DE350A" w:rsidRDefault="006C63CE" w:rsidP="006C63CE">
      <w:pPr>
        <w:autoSpaceDE w:val="0"/>
        <w:autoSpaceDN w:val="0"/>
        <w:adjustRightInd w:val="0"/>
        <w:spacing w:after="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Honlap: </w:t>
      </w:r>
      <w:hyperlink r:id="rId9" w:history="1">
        <w:r w:rsidRPr="00DE350A">
          <w:rPr>
            <w:rFonts w:ascii="Times New Roman" w:hAnsi="Times New Roman" w:cs="Times New Roman"/>
            <w:sz w:val="24"/>
            <w:szCs w:val="24"/>
            <w:lang w:val="hu-HU"/>
          </w:rPr>
          <w:t>http://naih.hu/</w:t>
        </w:r>
      </w:hyperlink>
    </w:p>
    <w:p w:rsidR="006C63CE" w:rsidRPr="00DE350A" w:rsidRDefault="006C63CE" w:rsidP="006C63CE">
      <w:pPr>
        <w:autoSpaceDE w:val="0"/>
        <w:autoSpaceDN w:val="0"/>
        <w:adjustRightInd w:val="0"/>
        <w:spacing w:after="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Cím: 1125 Budapest, Szilágyi Erzsébet fasor 22/c.</w:t>
      </w:r>
    </w:p>
    <w:p w:rsidR="006C63CE" w:rsidRPr="00DE350A" w:rsidRDefault="006C63CE" w:rsidP="006C63CE">
      <w:pPr>
        <w:autoSpaceDE w:val="0"/>
        <w:autoSpaceDN w:val="0"/>
        <w:adjustRightInd w:val="0"/>
        <w:spacing w:after="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Postacím: 1530 Budapest, Pf.: 5.</w:t>
      </w:r>
    </w:p>
    <w:p w:rsidR="006C63CE" w:rsidRPr="00DE350A" w:rsidRDefault="006C63CE" w:rsidP="006C63CE">
      <w:pPr>
        <w:autoSpaceDE w:val="0"/>
        <w:autoSpaceDN w:val="0"/>
        <w:adjustRightInd w:val="0"/>
        <w:spacing w:after="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Telefon: +36-1-391-1400</w:t>
      </w:r>
    </w:p>
    <w:p w:rsidR="006C63CE" w:rsidRPr="00DE350A" w:rsidRDefault="006C63CE" w:rsidP="006C63CE">
      <w:pPr>
        <w:autoSpaceDE w:val="0"/>
        <w:autoSpaceDN w:val="0"/>
        <w:adjustRightInd w:val="0"/>
        <w:spacing w:after="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Fax: +36-1-391-1410</w:t>
      </w:r>
    </w:p>
    <w:p w:rsidR="006C63CE" w:rsidRPr="00DE350A" w:rsidRDefault="006C63CE" w:rsidP="006C63CE">
      <w:pPr>
        <w:autoSpaceDE w:val="0"/>
        <w:autoSpaceDN w:val="0"/>
        <w:adjustRightInd w:val="0"/>
        <w:spacing w:after="0" w:line="240" w:lineRule="auto"/>
        <w:ind w:left="709"/>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E-mail: ugyfelszolgalat@naih.hu</w:t>
      </w:r>
    </w:p>
    <w:p w:rsidR="006C63CE" w:rsidRPr="00DE350A" w:rsidRDefault="006C63CE" w:rsidP="006C63CE">
      <w:pPr>
        <w:autoSpaceDE w:val="0"/>
        <w:autoSpaceDN w:val="0"/>
        <w:adjustRightInd w:val="0"/>
        <w:spacing w:before="120" w:after="120" w:line="240" w:lineRule="auto"/>
        <w:ind w:hanging="11"/>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Érintettnek joga van más, így különösen a szokásos tartózkodási helye, munkahelye vagy a feltételezett jogsértés helye szerinti európai uniós tagállamban létrehozott, felügyeleti hatóságnál is panaszt tenni.</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67" w:name="_Toc510709490"/>
      <w:r w:rsidRPr="00DE350A">
        <w:rPr>
          <w:rFonts w:ascii="Times New Roman" w:hAnsi="Times New Roman" w:cs="Times New Roman"/>
          <w:color w:val="auto"/>
          <w:sz w:val="24"/>
        </w:rPr>
        <w:t>Felügyeleti hatóság határozatának bírósági felülvizsgálata, ill. egyéb jogorvoslati lehetőség</w:t>
      </w:r>
      <w:bookmarkEnd w:id="67"/>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és a Vállalkozás jogosult a hatékony bírósági jogorvoslatra a felügyeleti hatóság rá vonatkozó, jogilag kötelező erejű döntésével szemben, így különösen a felügyeleti hatóság vizsgálati, korrekciós és engedélyezési hatásköreinek gyakorlására, illetve a panaszok megalapozatlannak tekintésére vagy elutasítására vonatkozó döntésével szemben. </w:t>
      </w:r>
      <w:r w:rsidRPr="00DE350A">
        <w:rPr>
          <w:rFonts w:ascii="Times New Roman" w:hAnsi="Times New Roman" w:cs="Times New Roman"/>
          <w:sz w:val="24"/>
          <w:szCs w:val="24"/>
          <w:lang w:val="hu-HU"/>
        </w:rPr>
        <w:lastRenderedPageBreak/>
        <w:t>Mindazonáltal a hatékony bírósági jogorvoslathoz való jog nem vonatkozik a felügyeleti hatóságok által tett, jogilag kötelező erővel nem bíró intézkedéseikre, például a felügyeleti hatóság által kibocsátott véleményekre vagy az általa nyújtott tanácsra.</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Továbbá az Érintettet jogosult a hatékony bírósági jogorvoslatra, ha a GDPR 55. vagy 56. cikk alapján illetékes felügyeleti hatóság nem foglalkozik a panasszal vagy három hónapon belül nem tájékoztatja az Érintettet a benyújtott panaszával kapcsolatos eljárási fejleményekről vagy annak eredményéről.</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felügyeleti hatósággal szembeni eljárást a felügyeleti hatóság székhelye szerinti uniós tagállam bírósága előtt kell megindítani.</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68" w:name="_Toc510709491"/>
      <w:r w:rsidRPr="00DE350A">
        <w:rPr>
          <w:rFonts w:ascii="Times New Roman" w:hAnsi="Times New Roman" w:cs="Times New Roman"/>
          <w:color w:val="auto"/>
          <w:sz w:val="24"/>
        </w:rPr>
        <w:t>A bírósághoz fordulás joga (keresetindítási jog)</w:t>
      </w:r>
      <w:bookmarkEnd w:id="68"/>
    </w:p>
    <w:p w:rsidR="006C63CE" w:rsidRPr="00DE350A" w:rsidRDefault="006C63CE" w:rsidP="006C63CE">
      <w:pPr>
        <w:pStyle w:val="Bekezdsbehzott"/>
        <w:ind w:left="0"/>
        <w:rPr>
          <w:rFonts w:ascii="Times New Roman" w:hAnsi="Times New Roman" w:cs="Times New Roman"/>
          <w:color w:val="auto"/>
          <w:sz w:val="24"/>
          <w:szCs w:val="24"/>
        </w:rPr>
      </w:pPr>
      <w:r w:rsidRPr="00DE350A">
        <w:rPr>
          <w:rFonts w:ascii="Times New Roman" w:hAnsi="Times New Roman" w:cs="Times New Roman"/>
          <w:color w:val="auto"/>
          <w:sz w:val="24"/>
          <w:szCs w:val="24"/>
        </w:rPr>
        <w:t xml:space="preserve">Az Érintett – panasztételi jogától függetlenül – bírósághoz fordulhat, ha a személyes adatainak kezelése során megsértették a GDPR szerinti jogait. </w:t>
      </w:r>
    </w:p>
    <w:p w:rsidR="006C63CE" w:rsidRPr="00DE350A" w:rsidRDefault="006C63CE" w:rsidP="006C63CE">
      <w:pPr>
        <w:pStyle w:val="Bekezdsbehzott"/>
        <w:ind w:left="0"/>
        <w:rPr>
          <w:rFonts w:ascii="Times New Roman" w:hAnsi="Times New Roman" w:cs="Times New Roman"/>
          <w:color w:val="auto"/>
          <w:sz w:val="24"/>
          <w:szCs w:val="24"/>
        </w:rPr>
      </w:pPr>
      <w:r w:rsidRPr="00DE350A">
        <w:rPr>
          <w:rFonts w:ascii="Times New Roman" w:hAnsi="Times New Roman" w:cs="Times New Roman"/>
          <w:color w:val="auto"/>
          <w:sz w:val="24"/>
          <w:szCs w:val="24"/>
        </w:rPr>
        <w:t>A Vállalkozással mint belföldi tevékenységi hellyel rendelkező adatkezelővel szemben magyar bíróság előtt indítható per.</w:t>
      </w:r>
    </w:p>
    <w:p w:rsidR="006C63CE" w:rsidRPr="00DE350A" w:rsidRDefault="006C63CE" w:rsidP="006C63CE">
      <w:pPr>
        <w:pStyle w:val="Bekezdsbehzott"/>
        <w:ind w:left="0"/>
        <w:rPr>
          <w:rFonts w:ascii="Times New Roman" w:hAnsi="Times New Roman" w:cs="Times New Roman"/>
          <w:color w:val="auto"/>
          <w:sz w:val="24"/>
          <w:szCs w:val="24"/>
        </w:rPr>
      </w:pPr>
      <w:r w:rsidRPr="00DE350A">
        <w:rPr>
          <w:rFonts w:ascii="Times New Roman" w:hAnsi="Times New Roman" w:cs="Times New Roman"/>
          <w:color w:val="auto"/>
          <w:sz w:val="24"/>
          <w:szCs w:val="24"/>
        </w:rPr>
        <w:t xml:space="preserve">Az Érintett a pert a jelenlegi Infotv. 22. § (1) bek. szerint a lakóhelye szerinti törvényszék előtt is megindíthatja. Magyarországon a törvényszékek elérhetősége az alábbi linken található: </w:t>
      </w:r>
      <w:hyperlink r:id="rId10" w:history="1">
        <w:r w:rsidRPr="00DE350A">
          <w:rPr>
            <w:rStyle w:val="Hiperhivatkozs"/>
            <w:rFonts w:ascii="Times New Roman" w:hAnsi="Times New Roman" w:cs="Times New Roman"/>
            <w:color w:val="auto"/>
            <w:sz w:val="24"/>
            <w:szCs w:val="24"/>
          </w:rPr>
          <w:t>http://birosag.hu/torvenyszekek</w:t>
        </w:r>
      </w:hyperlink>
      <w:r w:rsidRPr="00DE350A">
        <w:rPr>
          <w:rFonts w:ascii="Times New Roman" w:hAnsi="Times New Roman" w:cs="Times New Roman"/>
          <w:color w:val="auto"/>
          <w:sz w:val="24"/>
          <w:szCs w:val="24"/>
        </w:rPr>
        <w:t>.</w:t>
      </w:r>
    </w:p>
    <w:p w:rsidR="006C63CE" w:rsidRPr="00DE350A" w:rsidRDefault="006C63CE" w:rsidP="006C63CE">
      <w:pPr>
        <w:pStyle w:val="Bekezdsbehzott"/>
        <w:ind w:left="0"/>
        <w:rPr>
          <w:rFonts w:ascii="Times New Roman" w:hAnsi="Times New Roman" w:cs="Times New Roman"/>
          <w:color w:val="auto"/>
          <w:sz w:val="24"/>
          <w:szCs w:val="24"/>
        </w:rPr>
      </w:pPr>
      <w:r w:rsidRPr="00DE350A">
        <w:rPr>
          <w:rFonts w:ascii="Times New Roman" w:hAnsi="Times New Roman" w:cs="Times New Roman"/>
          <w:color w:val="auto"/>
          <w:sz w:val="24"/>
          <w:szCs w:val="24"/>
        </w:rPr>
        <w:t>Tekintettel arra, hogy a Vállalkozás nem minősül valamely tagállam közhatalmi jogosítványait gyakorolva eljáró közhatalmi szervének, az Érintett a pert a szokásos tartózkodási hely szerinti tagállam hatáskörrel és illetékességgel rendelkező bírósága előtt is megindíthatja, amennyiben az Érintett szokásos tartózkodási helye az Európai Unió más tagállamában van.</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69" w:name="_Toc510709492"/>
      <w:r w:rsidRPr="00DE350A">
        <w:rPr>
          <w:rFonts w:ascii="Times New Roman" w:hAnsi="Times New Roman" w:cs="Times New Roman"/>
          <w:color w:val="auto"/>
          <w:sz w:val="24"/>
        </w:rPr>
        <w:t>Egyéb igényérvényesítési lehetőség</w:t>
      </w:r>
      <w:bookmarkEnd w:id="69"/>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Érintettnek jogában áll a panasznak a nevében történő benyújtásával, a felügyeleti hatóság határozatának bírósági felülvizsgálatával, a keresetindítással, valamint a kártérítési jogának a nevében történő érvényesítésével egy olyan nonprofit jellegű szervezetet vagy egyesületet megbízni, amelyet valamely európai uniós tagállam jogának megfelelően hoztak létre és amelynek alapszabályban rögzített céljai a közérdek szolgálata, valamint az érintettek jogainak és szabadságának a személyes adatok vonatkozásában biztosított védelme.</w:t>
      </w:r>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70" w:name="_Toc510709493"/>
      <w:r w:rsidRPr="00DE350A">
        <w:rPr>
          <w:rFonts w:ascii="Times New Roman" w:hAnsi="Times New Roman" w:cs="Times New Roman"/>
          <w:color w:val="auto"/>
          <w:sz w:val="24"/>
        </w:rPr>
        <w:t>Kártérítéshez való jog</w:t>
      </w:r>
      <w:bookmarkEnd w:id="70"/>
    </w:p>
    <w:p w:rsidR="006C63CE" w:rsidRPr="00DE350A" w:rsidRDefault="006C63CE" w:rsidP="006C63CE">
      <w:pPr>
        <w:pStyle w:val="Bekezdsszmozott2"/>
        <w:numPr>
          <w:ilvl w:val="0"/>
          <w:numId w:val="0"/>
        </w:numPr>
        <w:rPr>
          <w:rFonts w:ascii="Times New Roman" w:hAnsi="Times New Roman" w:cs="Times New Roman"/>
          <w:color w:val="auto"/>
          <w:sz w:val="24"/>
        </w:rPr>
      </w:pPr>
      <w:bookmarkStart w:id="71" w:name="_Toc510097683"/>
      <w:bookmarkStart w:id="72" w:name="_Toc510709494"/>
      <w:r w:rsidRPr="00DE350A">
        <w:rPr>
          <w:rFonts w:ascii="Times New Roman" w:hAnsi="Times New Roman" w:cs="Times New Roman"/>
          <w:color w:val="auto"/>
          <w:sz w:val="24"/>
        </w:rPr>
        <w:t>A Vállalkozás köteles megtéríteni azt a vagyoni vagy nem vagyoni kárt, amelyet az alábbi jogszabályok megsértésének eredményeként más személy szenvedett el:</w:t>
      </w:r>
      <w:bookmarkEnd w:id="71"/>
      <w:bookmarkEnd w:id="72"/>
    </w:p>
    <w:p w:rsidR="006C63CE" w:rsidRPr="00DE350A" w:rsidRDefault="006C63CE" w:rsidP="006C63CE">
      <w:pPr>
        <w:pStyle w:val="Bekezdsszmozott2"/>
        <w:numPr>
          <w:ilvl w:val="0"/>
          <w:numId w:val="36"/>
        </w:numPr>
        <w:ind w:left="993" w:hanging="633"/>
        <w:rPr>
          <w:rFonts w:ascii="Times New Roman" w:hAnsi="Times New Roman" w:cs="Times New Roman"/>
          <w:color w:val="auto"/>
          <w:sz w:val="24"/>
        </w:rPr>
      </w:pPr>
      <w:bookmarkStart w:id="73" w:name="_Toc510097684"/>
      <w:bookmarkStart w:id="74" w:name="_Toc510709495"/>
      <w:r w:rsidRPr="00DE350A">
        <w:rPr>
          <w:rFonts w:ascii="Times New Roman" w:hAnsi="Times New Roman" w:cs="Times New Roman"/>
          <w:color w:val="auto"/>
          <w:sz w:val="24"/>
        </w:rPr>
        <w:t>GDPR,</w:t>
      </w:r>
      <w:bookmarkEnd w:id="73"/>
      <w:bookmarkEnd w:id="74"/>
    </w:p>
    <w:p w:rsidR="006C63CE" w:rsidRPr="00DE350A" w:rsidRDefault="006C63CE" w:rsidP="006C63CE">
      <w:pPr>
        <w:pStyle w:val="Bekezdsszmozott2"/>
        <w:numPr>
          <w:ilvl w:val="0"/>
          <w:numId w:val="36"/>
        </w:numPr>
        <w:ind w:left="993" w:hanging="633"/>
        <w:rPr>
          <w:rFonts w:ascii="Times New Roman" w:hAnsi="Times New Roman" w:cs="Times New Roman"/>
          <w:color w:val="auto"/>
          <w:sz w:val="24"/>
        </w:rPr>
      </w:pPr>
      <w:bookmarkStart w:id="75" w:name="_Toc510097685"/>
      <w:bookmarkStart w:id="76" w:name="_Toc510709496"/>
      <w:r w:rsidRPr="00DE350A">
        <w:rPr>
          <w:rFonts w:ascii="Times New Roman" w:hAnsi="Times New Roman" w:cs="Times New Roman"/>
          <w:color w:val="auto"/>
          <w:sz w:val="24"/>
        </w:rPr>
        <w:t>a GDPR-ral összhangban elfogadott, felhatalmazáson alapuló jogi aktusokat és végrehajtási jogi aktusokat,</w:t>
      </w:r>
      <w:bookmarkEnd w:id="75"/>
      <w:bookmarkEnd w:id="76"/>
      <w:r w:rsidRPr="00DE350A">
        <w:rPr>
          <w:rFonts w:ascii="Times New Roman" w:hAnsi="Times New Roman" w:cs="Times New Roman"/>
          <w:color w:val="auto"/>
          <w:sz w:val="24"/>
        </w:rPr>
        <w:t xml:space="preserve"> </w:t>
      </w:r>
    </w:p>
    <w:p w:rsidR="006C63CE" w:rsidRPr="00DE350A" w:rsidRDefault="006C63CE" w:rsidP="006C63CE">
      <w:pPr>
        <w:pStyle w:val="Bekezdsszmozott2"/>
        <w:numPr>
          <w:ilvl w:val="0"/>
          <w:numId w:val="36"/>
        </w:numPr>
        <w:ind w:left="993" w:hanging="633"/>
        <w:rPr>
          <w:rFonts w:ascii="Times New Roman" w:hAnsi="Times New Roman" w:cs="Times New Roman"/>
          <w:color w:val="auto"/>
          <w:sz w:val="24"/>
        </w:rPr>
      </w:pPr>
      <w:bookmarkStart w:id="77" w:name="_Toc510097686"/>
      <w:bookmarkStart w:id="78" w:name="_Toc510709497"/>
      <w:r w:rsidRPr="00DE350A">
        <w:rPr>
          <w:rFonts w:ascii="Times New Roman" w:hAnsi="Times New Roman" w:cs="Times New Roman"/>
          <w:color w:val="auto"/>
          <w:sz w:val="24"/>
        </w:rPr>
        <w:t>a GDPR-ban foglalt szabályokat pontosító tagállami jog.</w:t>
      </w:r>
      <w:bookmarkEnd w:id="77"/>
      <w:bookmarkEnd w:id="78"/>
    </w:p>
    <w:p w:rsidR="006C63CE" w:rsidRPr="00DE350A" w:rsidRDefault="006C63CE" w:rsidP="006C63CE">
      <w:pPr>
        <w:pStyle w:val="Bekezdsszmozott2"/>
        <w:numPr>
          <w:ilvl w:val="0"/>
          <w:numId w:val="0"/>
        </w:numPr>
        <w:rPr>
          <w:rFonts w:ascii="Times New Roman" w:hAnsi="Times New Roman" w:cs="Times New Roman"/>
          <w:color w:val="auto"/>
          <w:sz w:val="24"/>
        </w:rPr>
      </w:pPr>
      <w:bookmarkStart w:id="79" w:name="_Toc510097687"/>
      <w:bookmarkStart w:id="80" w:name="_Toc510709498"/>
      <w:r w:rsidRPr="00DE350A">
        <w:rPr>
          <w:rFonts w:ascii="Times New Roman" w:hAnsi="Times New Roman" w:cs="Times New Roman"/>
          <w:color w:val="auto"/>
          <w:sz w:val="24"/>
        </w:rPr>
        <w:t>A Vállalkozás mentesül a kártérítési felelőssége alól, ha bizonyítja, hogy a kárt előidéző eseményért őt semmilyen módon nem terheli felelősség.</w:t>
      </w:r>
      <w:bookmarkEnd w:id="79"/>
      <w:bookmarkEnd w:id="80"/>
    </w:p>
    <w:p w:rsidR="006C63CE" w:rsidRPr="00DE350A" w:rsidRDefault="006C63CE" w:rsidP="006C63CE">
      <w:pPr>
        <w:pStyle w:val="Bekezdsszmozott2"/>
        <w:numPr>
          <w:ilvl w:val="0"/>
          <w:numId w:val="0"/>
        </w:numPr>
        <w:rPr>
          <w:rFonts w:ascii="Times New Roman" w:hAnsi="Times New Roman" w:cs="Times New Roman"/>
          <w:color w:val="auto"/>
          <w:sz w:val="24"/>
        </w:rPr>
      </w:pPr>
      <w:bookmarkStart w:id="81" w:name="_Toc510097688"/>
      <w:bookmarkStart w:id="82" w:name="_Toc510709499"/>
      <w:r w:rsidRPr="00DE350A">
        <w:rPr>
          <w:rFonts w:ascii="Times New Roman" w:hAnsi="Times New Roman" w:cs="Times New Roman"/>
          <w:color w:val="auto"/>
          <w:sz w:val="24"/>
        </w:rPr>
        <w:t>A károsult a kártérítés igényét az 4.2.8.3 pontban meghatározott tagállamban hatáskörrel és illetékességgel rendelkező bíróságnál nyújthatja be.</w:t>
      </w:r>
      <w:bookmarkEnd w:id="81"/>
      <w:bookmarkEnd w:id="82"/>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83" w:name="_Toc510709500"/>
      <w:r w:rsidRPr="00DE350A">
        <w:rPr>
          <w:rFonts w:ascii="Times New Roman" w:hAnsi="Times New Roman" w:cs="Times New Roman"/>
          <w:color w:val="auto"/>
          <w:sz w:val="24"/>
        </w:rPr>
        <w:t>Közigazgatási bírság</w:t>
      </w:r>
      <w:bookmarkEnd w:id="83"/>
    </w:p>
    <w:p w:rsidR="006C63CE" w:rsidRPr="00DE350A" w:rsidRDefault="006C63CE" w:rsidP="006C63CE">
      <w:pPr>
        <w:pStyle w:val="Bekezdsszmozott2"/>
        <w:numPr>
          <w:ilvl w:val="0"/>
          <w:numId w:val="0"/>
        </w:numPr>
        <w:rPr>
          <w:rFonts w:ascii="Times New Roman" w:hAnsi="Times New Roman" w:cs="Times New Roman"/>
          <w:i/>
          <w:color w:val="auto"/>
          <w:sz w:val="24"/>
        </w:rPr>
      </w:pPr>
      <w:bookmarkStart w:id="84" w:name="_Toc510097690"/>
      <w:bookmarkStart w:id="85" w:name="_Toc510709501"/>
      <w:r w:rsidRPr="00DE350A">
        <w:rPr>
          <w:rFonts w:ascii="Times New Roman" w:hAnsi="Times New Roman" w:cs="Times New Roman"/>
          <w:i/>
          <w:color w:val="auto"/>
          <w:sz w:val="24"/>
        </w:rPr>
        <w:t>Megjegyzés</w:t>
      </w:r>
      <w:bookmarkEnd w:id="84"/>
      <w:bookmarkEnd w:id="85"/>
    </w:p>
    <w:p w:rsidR="006C63CE" w:rsidRPr="00DE350A" w:rsidRDefault="006C63CE" w:rsidP="006C63CE">
      <w:pPr>
        <w:pStyle w:val="Bekezdsszmozott2"/>
        <w:numPr>
          <w:ilvl w:val="0"/>
          <w:numId w:val="0"/>
        </w:numPr>
        <w:rPr>
          <w:rFonts w:ascii="Times New Roman" w:hAnsi="Times New Roman" w:cs="Times New Roman"/>
          <w:i/>
          <w:color w:val="auto"/>
          <w:sz w:val="24"/>
        </w:rPr>
      </w:pPr>
      <w:bookmarkStart w:id="86" w:name="_Toc510097691"/>
      <w:bookmarkStart w:id="87" w:name="_Toc510709502"/>
      <w:r w:rsidRPr="00DE350A">
        <w:rPr>
          <w:rFonts w:ascii="Times New Roman" w:hAnsi="Times New Roman" w:cs="Times New Roman"/>
          <w:i/>
          <w:color w:val="auto"/>
          <w:sz w:val="24"/>
        </w:rPr>
        <w:lastRenderedPageBreak/>
        <w:t>A közigazgatási bírságokat az adott eset körülményeitől függően a GDPR 58. cikk (2) bekezdésének a)–h) és j) pontjában említett intézkedések mellett vagy helyett kell kiszabni.</w:t>
      </w:r>
      <w:bookmarkEnd w:id="86"/>
      <w:bookmarkEnd w:id="87"/>
      <w:r w:rsidRPr="00DE350A">
        <w:rPr>
          <w:rFonts w:ascii="Times New Roman" w:hAnsi="Times New Roman" w:cs="Times New Roman"/>
          <w:i/>
          <w:color w:val="auto"/>
          <w:sz w:val="24"/>
        </w:rPr>
        <w:t xml:space="preserve"> </w:t>
      </w:r>
    </w:p>
    <w:p w:rsidR="006C63CE" w:rsidRPr="00DE350A" w:rsidRDefault="006C63CE" w:rsidP="006C63CE">
      <w:pPr>
        <w:pStyle w:val="Bekezdsszmozott2"/>
        <w:numPr>
          <w:ilvl w:val="0"/>
          <w:numId w:val="0"/>
        </w:numPr>
        <w:rPr>
          <w:rFonts w:ascii="Times New Roman" w:hAnsi="Times New Roman" w:cs="Times New Roman"/>
          <w:i/>
          <w:color w:val="auto"/>
          <w:sz w:val="24"/>
        </w:rPr>
      </w:pPr>
      <w:bookmarkStart w:id="88" w:name="_Toc510097692"/>
      <w:bookmarkStart w:id="89" w:name="_Toc510709503"/>
      <w:r w:rsidRPr="00DE350A">
        <w:rPr>
          <w:rFonts w:ascii="Times New Roman" w:hAnsi="Times New Roman" w:cs="Times New Roman"/>
          <w:i/>
          <w:color w:val="auto"/>
          <w:sz w:val="24"/>
        </w:rPr>
        <w:t>A közigazgatási bírság kiszabását, illetve a közigazgatási bírság összegének megállapítását a GDPR 83. cikke különböző körülményektől, így pl. a jogsértés súlyától, teszi függővé.</w:t>
      </w:r>
      <w:bookmarkEnd w:id="88"/>
      <w:bookmarkEnd w:id="89"/>
    </w:p>
    <w:p w:rsidR="006C63CE" w:rsidRPr="00DE350A" w:rsidRDefault="006C63CE" w:rsidP="006C63CE">
      <w:pPr>
        <w:pStyle w:val="Bekezdsszmozott2"/>
        <w:numPr>
          <w:ilvl w:val="3"/>
          <w:numId w:val="33"/>
        </w:numPr>
        <w:rPr>
          <w:rFonts w:ascii="Times New Roman" w:hAnsi="Times New Roman" w:cs="Times New Roman"/>
          <w:color w:val="auto"/>
          <w:sz w:val="24"/>
        </w:rPr>
      </w:pPr>
      <w:bookmarkStart w:id="90" w:name="_Toc510709504"/>
      <w:r w:rsidRPr="00DE350A">
        <w:rPr>
          <w:rFonts w:ascii="Times New Roman" w:hAnsi="Times New Roman" w:cs="Times New Roman"/>
          <w:color w:val="auto"/>
          <w:sz w:val="24"/>
        </w:rPr>
        <w:t>Büntetőjogi és/vagy közigazgatási szankció</w:t>
      </w:r>
      <w:bookmarkEnd w:id="90"/>
    </w:p>
    <w:p w:rsidR="006C63CE" w:rsidRPr="00DE350A" w:rsidRDefault="006C63CE" w:rsidP="006C63CE">
      <w:pPr>
        <w:pStyle w:val="Bekezdsszmozott2"/>
        <w:numPr>
          <w:ilvl w:val="0"/>
          <w:numId w:val="0"/>
        </w:numPr>
        <w:ind w:left="720" w:hanging="720"/>
        <w:rPr>
          <w:rFonts w:ascii="Times New Roman" w:hAnsi="Times New Roman" w:cs="Times New Roman"/>
          <w:i/>
          <w:color w:val="auto"/>
          <w:sz w:val="24"/>
        </w:rPr>
      </w:pPr>
      <w:bookmarkStart w:id="91" w:name="_Toc510097694"/>
      <w:bookmarkStart w:id="92" w:name="_Toc510709505"/>
      <w:r w:rsidRPr="00DE350A">
        <w:rPr>
          <w:rFonts w:ascii="Times New Roman" w:hAnsi="Times New Roman" w:cs="Times New Roman"/>
          <w:i/>
          <w:color w:val="auto"/>
          <w:sz w:val="24"/>
        </w:rPr>
        <w:t>Megjegyzés</w:t>
      </w:r>
      <w:bookmarkEnd w:id="91"/>
      <w:bookmarkEnd w:id="92"/>
    </w:p>
    <w:p w:rsidR="006C63CE" w:rsidRPr="00DE350A" w:rsidRDefault="006C63CE" w:rsidP="006C63CE">
      <w:pPr>
        <w:pStyle w:val="Bekezdsszmozott2"/>
        <w:numPr>
          <w:ilvl w:val="0"/>
          <w:numId w:val="0"/>
        </w:numPr>
        <w:rPr>
          <w:rFonts w:ascii="Times New Roman" w:hAnsi="Times New Roman" w:cs="Times New Roman"/>
          <w:color w:val="auto"/>
          <w:sz w:val="24"/>
        </w:rPr>
      </w:pPr>
      <w:bookmarkStart w:id="93" w:name="_Toc510097695"/>
      <w:bookmarkStart w:id="94" w:name="_Toc510709506"/>
      <w:r w:rsidRPr="00DE350A">
        <w:rPr>
          <w:rFonts w:ascii="Times New Roman" w:hAnsi="Times New Roman" w:cs="Times New Roman"/>
          <w:i/>
          <w:color w:val="auto"/>
          <w:sz w:val="24"/>
        </w:rPr>
        <w:t>A GDPR felhatalmazza a tagállami jogalkotót, hogy a GDPR megsértése esetére büntetőjogi vagy egyéb közigazgatási szankciókat vezessen be.</w:t>
      </w:r>
      <w:bookmarkEnd w:id="93"/>
      <w:bookmarkEnd w:id="94"/>
    </w:p>
    <w:p w:rsidR="006C63CE" w:rsidRPr="00DE350A" w:rsidRDefault="006C63CE" w:rsidP="006C63CE">
      <w:pPr>
        <w:pStyle w:val="Cmsor2"/>
        <w:numPr>
          <w:ilvl w:val="1"/>
          <w:numId w:val="33"/>
        </w:numPr>
        <w:jc w:val="both"/>
        <w:rPr>
          <w:rFonts w:ascii="Times New Roman" w:hAnsi="Times New Roman" w:cs="Times New Roman"/>
          <w:color w:val="auto"/>
          <w:sz w:val="24"/>
          <w:szCs w:val="24"/>
        </w:rPr>
      </w:pPr>
      <w:bookmarkStart w:id="95" w:name="_Toc510709507"/>
      <w:r w:rsidRPr="00DE350A">
        <w:rPr>
          <w:rFonts w:ascii="Times New Roman" w:hAnsi="Times New Roman" w:cs="Times New Roman"/>
          <w:color w:val="auto"/>
          <w:sz w:val="24"/>
          <w:szCs w:val="24"/>
        </w:rPr>
        <w:t>Eljárási szabályok</w:t>
      </w:r>
      <w:bookmarkEnd w:id="95"/>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 fenti tájékoztatási kötelezettségének teljesítése és intézkedései megtétele során az ott meghatározottak szerint köteles eljárni. A fent meghatározott speciális szabályokat meghaladóan a Vállakozás a következő rendelkezések betartásával jár el.</w:t>
      </w:r>
    </w:p>
    <w:p w:rsidR="006C63CE" w:rsidRPr="00DE350A" w:rsidRDefault="006C63CE" w:rsidP="006C63CE">
      <w:pPr>
        <w:pStyle w:val="Cmsor3"/>
        <w:numPr>
          <w:ilvl w:val="2"/>
          <w:numId w:val="33"/>
        </w:numPr>
        <w:spacing w:after="120"/>
        <w:ind w:left="709"/>
        <w:jc w:val="both"/>
        <w:rPr>
          <w:rFonts w:ascii="Times New Roman" w:hAnsi="Times New Roman" w:cs="Times New Roman"/>
          <w:color w:val="auto"/>
        </w:rPr>
      </w:pPr>
      <w:bookmarkStart w:id="96" w:name="_Toc510709508"/>
      <w:r w:rsidRPr="00DE350A">
        <w:rPr>
          <w:rFonts w:ascii="Times New Roman" w:hAnsi="Times New Roman" w:cs="Times New Roman"/>
          <w:color w:val="auto"/>
        </w:rPr>
        <w:t>A kérelem elbírálása</w:t>
      </w:r>
      <w:bookmarkEnd w:id="96"/>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4.2.1 – 4.2.7 pontokban meghatározott érintetti jogok kapcsán kérelmezett intézkedésekkel kapcsolatban az alábbi eljárási szabályokat kell alkalmazni.</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Érintett kérelmét </w:t>
      </w:r>
      <w:r w:rsidRPr="00DE350A">
        <w:rPr>
          <w:rFonts w:ascii="Times New Roman" w:hAnsi="Times New Roman" w:cs="Times New Roman"/>
          <w:b/>
          <w:sz w:val="24"/>
          <w:szCs w:val="24"/>
          <w:lang w:val="hu-HU"/>
        </w:rPr>
        <w:t xml:space="preserve">az </w:t>
      </w:r>
      <w:r>
        <w:rPr>
          <w:rFonts w:ascii="Times New Roman" w:hAnsi="Times New Roman" w:cs="Times New Roman"/>
          <w:b/>
          <w:sz w:val="24"/>
          <w:szCs w:val="24"/>
          <w:lang w:val="hu-HU"/>
        </w:rPr>
        <w:t>ügyvezető</w:t>
      </w:r>
      <w:r w:rsidRPr="00DE350A">
        <w:rPr>
          <w:rFonts w:ascii="Times New Roman" w:hAnsi="Times New Roman" w:cs="Times New Roman"/>
          <w:b/>
          <w:sz w:val="24"/>
          <w:szCs w:val="24"/>
          <w:lang w:val="hu-HU"/>
        </w:rPr>
        <w:t xml:space="preserve"> munkakörben foglalkoztatott</w:t>
      </w:r>
      <w:r w:rsidRPr="00DE350A">
        <w:rPr>
          <w:rFonts w:ascii="Times New Roman" w:hAnsi="Times New Roman" w:cs="Times New Roman"/>
          <w:sz w:val="24"/>
          <w:szCs w:val="24"/>
          <w:lang w:val="hu-HU"/>
        </w:rPr>
        <w:t xml:space="preserve"> munkatársnál nyújthatja be.</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kérelem benyújtása írásban történhet elektronikus levél útján vagy papír alapon. Ha a Vállalkozás a kérelmet nem nyomtatványon nyújtja be, akkor a kérelmet tartalma alapján kell elbírálni. Ha az Érintett elektronikus úton nyújtotta be a kérelmet, a tájékoztatást lehetőség szerint elektronikus úton kell megadni, kivéve, ha az Érintett azt másként kéri.</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Érintett köteles a kérelemben megjelölni, hogy a mely személyes adat vonatkozásában kéri a Vállalkozás intézkedését.</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az írásban benyújtott kérelem kézhezvételétől számított 1 (egy) hónapon belül köteles kérelmet elbírálni. Szükség esetén, figyelembe véve a kérelem összetettségét, illetve a folyamatban lévő kérelmek számát, a Vállalkozás a kérelem elbírálásának határidejét további 2 (kettő) hónappal meghosszabbíthatja. A meghosszabbítás tényéről, illetve a késedelem okairól az Érintettet a kérelem kézhezvételétől számított 1 (egy) hónapon belül tájékoztatni kell.</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Amennyiben az Érintett kérelme megalapozott, a Vállalkozás a kért intézkedést az eljárási határidőn belül végrehajtja, és a végrehajtás megtörténtétével kapcsolatosan írásbeli tájékoztatást ad az Érintett részére.</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Ha a Vállalkozás nem tesz intézkedéseket az Érintett kérelme nyomán, késedelem nélkül, de legkésőbb a kérelem beérkezésétől számított 1 (egy) hónapon belül tájékoztatja az Érintettet az intézkedés elmaradásának okairól, valamint arról, hogy az Érintett panaszt nyújthat be valamely felügyeleti hatóságnál és élhet bírósági jogorvoslati jogával.</w:t>
      </w:r>
    </w:p>
    <w:p w:rsidR="006C63CE" w:rsidRPr="00DE350A" w:rsidRDefault="006C63CE" w:rsidP="006C63CE">
      <w:pPr>
        <w:pStyle w:val="Cmsor3"/>
        <w:numPr>
          <w:ilvl w:val="2"/>
          <w:numId w:val="33"/>
        </w:numPr>
        <w:spacing w:after="120"/>
        <w:ind w:left="709"/>
        <w:jc w:val="both"/>
        <w:rPr>
          <w:rFonts w:ascii="Times New Roman" w:hAnsi="Times New Roman" w:cs="Times New Roman"/>
          <w:color w:val="auto"/>
        </w:rPr>
      </w:pPr>
      <w:bookmarkStart w:id="97" w:name="_Toc510709509"/>
      <w:bookmarkStart w:id="98" w:name="_Toc510709510"/>
      <w:bookmarkEnd w:id="97"/>
      <w:r w:rsidRPr="00DE350A">
        <w:rPr>
          <w:rFonts w:ascii="Times New Roman" w:hAnsi="Times New Roman" w:cs="Times New Roman"/>
          <w:color w:val="auto"/>
        </w:rPr>
        <w:t>A szolgáltatott információ, a nyújtott tájékoztatás és a megtett intézkedés díja</w:t>
      </w:r>
      <w:bookmarkEnd w:id="98"/>
      <w:r w:rsidRPr="00DE350A">
        <w:rPr>
          <w:rFonts w:ascii="Times New Roman" w:hAnsi="Times New Roman" w:cs="Times New Roman"/>
          <w:color w:val="auto"/>
        </w:rPr>
        <w:t xml:space="preserve">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Vállakozás a 4.1, 4.2.1 – 4.2.7 és 6.2 pontokban meghatározott információkat, az érintetti jogokkal kapcsolatos tájékoztatást, illetve a kérelmezett intézkedéseket díjmentesen biztosítja. Amennyiben azonban az Érintett kérelme egyértelműen megalapozatlan vagy – különösen ismétlődő jellege miatt – túlzó, a Vállalkozás, figyelemmel a kért információ vagy tájékoztatás nyújtásával vagy a kért intézkedés meghozatalával járó adminisztratív költségekre</w:t>
      </w:r>
    </w:p>
    <w:p w:rsidR="006C63CE" w:rsidRPr="00DE350A" w:rsidRDefault="006C63CE" w:rsidP="006C63CE">
      <w:pPr>
        <w:pStyle w:val="Listaszerbekezds"/>
        <w:numPr>
          <w:ilvl w:val="0"/>
          <w:numId w:val="30"/>
        </w:numPr>
        <w:spacing w:before="60" w:after="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lastRenderedPageBreak/>
        <w:t>észszerű összegű díjat számíthat fel vagy</w:t>
      </w:r>
    </w:p>
    <w:p w:rsidR="006C63CE" w:rsidRPr="00DE350A" w:rsidRDefault="006C63CE" w:rsidP="006C63CE">
      <w:pPr>
        <w:pStyle w:val="Listaszerbekezds"/>
        <w:numPr>
          <w:ilvl w:val="0"/>
          <w:numId w:val="30"/>
        </w:numPr>
        <w:spacing w:before="60"/>
        <w:ind w:left="992" w:hanging="635"/>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megtagadhatja a kérelem alapján történő intézkedést.</w:t>
      </w:r>
    </w:p>
    <w:p w:rsidR="006C63CE" w:rsidRPr="00DE350A" w:rsidRDefault="006C63CE" w:rsidP="006C63CE">
      <w:pPr>
        <w:pStyle w:val="Cmsor3"/>
        <w:numPr>
          <w:ilvl w:val="2"/>
          <w:numId w:val="33"/>
        </w:numPr>
        <w:spacing w:after="120"/>
        <w:ind w:left="709"/>
        <w:jc w:val="both"/>
        <w:rPr>
          <w:rFonts w:ascii="Times New Roman" w:hAnsi="Times New Roman" w:cs="Times New Roman"/>
          <w:color w:val="auto"/>
        </w:rPr>
      </w:pPr>
      <w:bookmarkStart w:id="99" w:name="_Toc510709511"/>
      <w:r w:rsidRPr="00DE350A">
        <w:rPr>
          <w:rFonts w:ascii="Times New Roman" w:hAnsi="Times New Roman" w:cs="Times New Roman"/>
          <w:color w:val="auto"/>
        </w:rPr>
        <w:t>Kérelmező személyazonosságának vizsgálata</w:t>
      </w:r>
      <w:bookmarkEnd w:id="99"/>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Abban az esetben, amennyiben a Vállalkozásnak a jelen szabályzat 4.2.1 – 4.2.6 pontok szerinti kérelem előterjesztőjének kilétével kapcsolatban megalapozott kétsége támad, a Vállalkozás az Érintett személyazonosságának megerősítéséhez szükséges további információk rendelkezésre bocsátását igényelheti.</w:t>
      </w:r>
    </w:p>
    <w:p w:rsidR="006C63CE" w:rsidRPr="00DE350A" w:rsidRDefault="006C63CE" w:rsidP="006C63CE">
      <w:pPr>
        <w:pStyle w:val="Cmsor1"/>
        <w:numPr>
          <w:ilvl w:val="0"/>
          <w:numId w:val="33"/>
        </w:numPr>
        <w:spacing w:after="240"/>
        <w:jc w:val="both"/>
        <w:rPr>
          <w:rFonts w:ascii="Times New Roman" w:hAnsi="Times New Roman" w:cs="Times New Roman"/>
          <w:caps/>
          <w:color w:val="auto"/>
          <w:sz w:val="24"/>
          <w:szCs w:val="24"/>
          <w:lang w:val="hu-HU"/>
        </w:rPr>
      </w:pPr>
      <w:bookmarkStart w:id="100" w:name="_Toc510709512"/>
      <w:r w:rsidRPr="00DE350A">
        <w:rPr>
          <w:rFonts w:ascii="Times New Roman" w:hAnsi="Times New Roman" w:cs="Times New Roman"/>
          <w:color w:val="auto"/>
          <w:sz w:val="24"/>
          <w:szCs w:val="24"/>
          <w:lang w:val="hu-HU"/>
        </w:rPr>
        <w:t>Adattovábbítás</w:t>
      </w:r>
      <w:bookmarkEnd w:id="100"/>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meghatározott célból – így különösen valamely harmadik személlyel fennálló szerződés teljesítése érdekében, illetve a jogszabályban meghatározott kötelezettség, munkaviszonyból származó munkáltatói kötelezettség teljesítése érdekében – az Érintettek személyes adatait továbbíthatja.</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Adattovábbítás esetén – jogszabályon alapuló adattovábbítás kivételével – a Vállalkozás kizárólag olyan címzettek részére továbbítja az Érintett személyes adatait, amelyek az Európai Unió területén székhellyel rendelkeznek, vagy amelyek megfelelő garanciákat nyújtanak arra, hogy az általuk történő adatkezelés a GDPR követelményeinek megfelel.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Amennyiben a Vállalkozás személyes adatot harmadik országba – tehát az Európai Unión kívüli országba – vagy nemzetközi szervezet részére továbbít (vagy harmadik országban működő adatkezelő vagy nemzetközi szervezet számára elérhetővé tesz), úgy a Vállalkozás köteles arról gondoskodni, hogy a harmadik országban működő címzett, illetve a nemzetközi szervezet az Érintett személyes adataival kapcsolatosan a Vállalkozás által biztosított védelemmel azonos mértékű védelmet biztosítson a GDPR V. fejezetében foglaltaknak megfelelően. </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Ha olyan harmadik országba vagy nemzetközi szervezet számára történik az adattovábbítás, amely a személyes adatok megfelelő szintű védelmét a GDPR V. fejezete szerint biztosítani nem tudja (pl. egyes ázsiai vagy afrikai országok), akkor az adattovábbítás csak akkor történhet az Érintett hozzájárulása nélkül, ha az adattovábbítás megfelel a GDPR 49. cikkében foglaltaknak; ennek hiányában a személyes adatok továbbításhoz szükséges az Érintett kifejezett hozzájárulása. </w:t>
      </w:r>
    </w:p>
    <w:p w:rsidR="006C63CE" w:rsidRPr="00DE350A" w:rsidRDefault="006C63CE" w:rsidP="006C63CE">
      <w:pPr>
        <w:pStyle w:val="Cmsor1"/>
        <w:numPr>
          <w:ilvl w:val="0"/>
          <w:numId w:val="33"/>
        </w:numPr>
        <w:spacing w:after="240"/>
        <w:jc w:val="both"/>
        <w:rPr>
          <w:rFonts w:ascii="Times New Roman" w:hAnsi="Times New Roman" w:cs="Times New Roman"/>
          <w:color w:val="auto"/>
          <w:sz w:val="24"/>
          <w:szCs w:val="24"/>
          <w:lang w:val="hu-HU"/>
        </w:rPr>
      </w:pPr>
      <w:bookmarkStart w:id="101" w:name="_Toc510709513"/>
      <w:r w:rsidRPr="00DE350A">
        <w:rPr>
          <w:rFonts w:ascii="Times New Roman" w:hAnsi="Times New Roman" w:cs="Times New Roman"/>
          <w:color w:val="auto"/>
          <w:sz w:val="24"/>
          <w:szCs w:val="24"/>
          <w:lang w:val="hu-HU"/>
        </w:rPr>
        <w:t>Adatvédelmi incidens</w:t>
      </w:r>
      <w:bookmarkEnd w:id="101"/>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Adatvédelmi incidens esetén a Vállalkozás a következő szabályokat köteles betartani, illetve a következő szabályok alapján köteles eljárni.</w:t>
      </w:r>
    </w:p>
    <w:p w:rsidR="006C63CE" w:rsidRPr="00DE350A" w:rsidRDefault="006C63CE" w:rsidP="006C63CE">
      <w:pPr>
        <w:pStyle w:val="Cmsor2"/>
        <w:numPr>
          <w:ilvl w:val="1"/>
          <w:numId w:val="34"/>
        </w:numPr>
        <w:jc w:val="both"/>
        <w:rPr>
          <w:rFonts w:ascii="Times New Roman" w:hAnsi="Times New Roman" w:cs="Times New Roman"/>
          <w:color w:val="auto"/>
          <w:sz w:val="24"/>
          <w:szCs w:val="24"/>
        </w:rPr>
      </w:pPr>
      <w:bookmarkStart w:id="102" w:name="_Toc510709514"/>
      <w:r w:rsidRPr="00DE350A">
        <w:rPr>
          <w:rFonts w:ascii="Times New Roman" w:hAnsi="Times New Roman" w:cs="Times New Roman"/>
          <w:color w:val="auto"/>
          <w:sz w:val="24"/>
          <w:szCs w:val="24"/>
        </w:rPr>
        <w:t>Bejelentés a felügyeleti hatósághoz</w:t>
      </w:r>
      <w:bookmarkEnd w:id="102"/>
    </w:p>
    <w:p w:rsidR="006C63CE" w:rsidRPr="00DE350A" w:rsidRDefault="006C63CE" w:rsidP="006C63CE">
      <w:pPr>
        <w:keepNext/>
        <w:keepLines/>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az általa kezelt adatok vonatkozásában az adatvédelmi incidenst a tudomásszerzést követően indokolatlan késedelem nélkül, amennyiben az lehetséges, úgy a tudomásszerzést követően legkésőbb 72 órával bejelenti a felügyeleti hatóságnak, legalább az alábbi tartalommal:</w:t>
      </w:r>
    </w:p>
    <w:p w:rsidR="006C63CE" w:rsidRPr="00DE350A" w:rsidRDefault="006C63CE" w:rsidP="006C63CE">
      <w:pPr>
        <w:pStyle w:val="Listaszerbekezds"/>
        <w:numPr>
          <w:ilvl w:val="0"/>
          <w:numId w:val="14"/>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adatvédelmi incidens jellegének ismertetése, ideértve az érintettek kategóriáit és hozzávetőleges számát, az incidenssel érintett adatok kategóriáit és hozzávetőleges számát,</w:t>
      </w:r>
    </w:p>
    <w:p w:rsidR="006C63CE" w:rsidRPr="00DE350A" w:rsidRDefault="006C63CE" w:rsidP="006C63CE">
      <w:pPr>
        <w:pStyle w:val="Listaszerbekezds"/>
        <w:numPr>
          <w:ilvl w:val="0"/>
          <w:numId w:val="14"/>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u w:val="single"/>
          <w:lang w:val="hu-HU"/>
        </w:rPr>
        <w:lastRenderedPageBreak/>
        <w:t>az adatvédelmi tisztviselő vagy</w:t>
      </w:r>
      <w:r w:rsidRPr="00DE350A">
        <w:rPr>
          <w:rStyle w:val="Lbjegyzet-hivatkozs"/>
          <w:rFonts w:ascii="Times New Roman" w:hAnsi="Times New Roman" w:cs="Times New Roman"/>
          <w:sz w:val="24"/>
          <w:szCs w:val="24"/>
          <w:u w:val="single"/>
          <w:lang w:val="hu-HU"/>
        </w:rPr>
        <w:footnoteReference w:id="4"/>
      </w:r>
      <w:r w:rsidRPr="00DE350A">
        <w:rPr>
          <w:rFonts w:ascii="Times New Roman" w:hAnsi="Times New Roman" w:cs="Times New Roman"/>
          <w:sz w:val="24"/>
          <w:szCs w:val="24"/>
          <w:lang w:val="hu-HU"/>
        </w:rPr>
        <w:t xml:space="preserve"> a további tájékoztatást nyújtó egyéb kapcsolattartó neve elérhetősége,</w:t>
      </w:r>
    </w:p>
    <w:p w:rsidR="006C63CE" w:rsidRPr="00DE350A" w:rsidRDefault="006C63CE" w:rsidP="006C63CE">
      <w:pPr>
        <w:pStyle w:val="Listaszerbekezds"/>
        <w:numPr>
          <w:ilvl w:val="0"/>
          <w:numId w:val="14"/>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adatvédelmi incidensből eredő, valószínűsíthető következmények,</w:t>
      </w:r>
    </w:p>
    <w:p w:rsidR="006C63CE" w:rsidRPr="00DE350A" w:rsidRDefault="006C63CE" w:rsidP="006C63CE">
      <w:pPr>
        <w:pStyle w:val="Listaszerbekezds"/>
        <w:numPr>
          <w:ilvl w:val="0"/>
          <w:numId w:val="14"/>
        </w:numPr>
        <w:spacing w:before="6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adatkezelő által az adatvédelmi incidens orvoslására tett vagy tervezett intézkedések, ideértve az esetleges hátrányos következmények enyhítését célzó intézkedéseket.</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Ha és amennyiben nem lehetséges a fenti információkat egyidejűleg közölni, azok további indokolatlan késedelem nélkül később részletekben is közölhetők a felügyeleti hatósággal. Ha a bejelentés nem történik meg 72 órán belül, mellékelni kell hozzá a késedelem igazolására szolgáló indokokat is.</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Nem kell bejelenteni az adatvédelmi incidenst, ha az adatvédelmi incidens valószínűsíthetően nem jár kockázattal a természetes személyek jogaira és szabadságaira nézve. A kockázat valószínűségét és súlyosságát az adatkezelés jellegének, hatókörének, körülményeinek és céljainak függvényében kell objektív értékelés alapján meghatározni. Kockázatnak minősülhet például, ha az érintettek az incidens folytán hátrányos megkülönböztetésben részesülhetnek, személyazonosságukkal történő visszaélés alanyaivá válhatnak, pénzügyi veszteséget szenvedhetnek, jó hírnevük sérülhet, egyéb jelentős gazdasági vagy szociális hátrány érheti őket.</w:t>
      </w:r>
    </w:p>
    <w:p w:rsidR="006C63CE" w:rsidRPr="00DE350A" w:rsidRDefault="006C63CE" w:rsidP="006C63CE">
      <w:pPr>
        <w:pStyle w:val="Cmsor2"/>
        <w:numPr>
          <w:ilvl w:val="1"/>
          <w:numId w:val="34"/>
        </w:numPr>
        <w:jc w:val="both"/>
        <w:rPr>
          <w:rFonts w:ascii="Times New Roman" w:hAnsi="Times New Roman" w:cs="Times New Roman"/>
          <w:color w:val="auto"/>
          <w:sz w:val="24"/>
          <w:szCs w:val="24"/>
        </w:rPr>
      </w:pPr>
      <w:bookmarkStart w:id="103" w:name="_Toc510709515"/>
      <w:r w:rsidRPr="00DE350A">
        <w:rPr>
          <w:rFonts w:ascii="Times New Roman" w:hAnsi="Times New Roman" w:cs="Times New Roman"/>
          <w:color w:val="auto"/>
          <w:sz w:val="24"/>
          <w:szCs w:val="24"/>
        </w:rPr>
        <w:t>Az Érintett tájékoztatása</w:t>
      </w:r>
      <w:bookmarkEnd w:id="103"/>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Ha valamely Érintett, különös tekintettel a Vállalkozás munkavállalóira, adatvédelmi incidensről értesül, úgy köteles erről a Vállalkozás </w:t>
      </w:r>
      <w:r w:rsidRPr="00DE350A">
        <w:rPr>
          <w:rFonts w:ascii="Times New Roman" w:hAnsi="Times New Roman" w:cs="Times New Roman"/>
          <w:sz w:val="24"/>
          <w:szCs w:val="24"/>
          <w:u w:val="single"/>
          <w:lang w:val="hu-HU"/>
        </w:rPr>
        <w:t xml:space="preserve">képviselőjét </w:t>
      </w:r>
      <w:r w:rsidRPr="00DE350A">
        <w:rPr>
          <w:rFonts w:ascii="Times New Roman" w:hAnsi="Times New Roman" w:cs="Times New Roman"/>
          <w:sz w:val="24"/>
          <w:szCs w:val="24"/>
          <w:lang w:val="hu-HU"/>
        </w:rPr>
        <w:t>haladéktalanul értesíteni. Az értesítéssel kapcsolatos díjszámításra a 4.3.2 pontban foglaltaknak megfelelően alkalmazandók.</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Minden olyan esetben, ha az adatvédelmi incidens valószínűsíthetően magas kockázattal jár valamely Érintett(ek) jogaira és szabadságaira nézve és az incidensről a Vállalkozás tudomást szerez, arról indokolatlan késedelem nélkül tájékoztatni köteles az Érintett(ek)et. A tájékoztatásban világosan és közérthetően ismertetni kell:</w:t>
      </w:r>
    </w:p>
    <w:p w:rsidR="006C63CE" w:rsidRPr="00DE350A" w:rsidRDefault="006C63CE" w:rsidP="006C63CE">
      <w:pPr>
        <w:pStyle w:val="Listaszerbekezds"/>
        <w:numPr>
          <w:ilvl w:val="0"/>
          <w:numId w:val="15"/>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adatvédelmi incidens jellegét, </w:t>
      </w:r>
    </w:p>
    <w:p w:rsidR="006C63CE" w:rsidRPr="00DE350A" w:rsidRDefault="006C63CE" w:rsidP="006C63CE">
      <w:pPr>
        <w:pStyle w:val="Listaszerbekezds"/>
        <w:numPr>
          <w:ilvl w:val="0"/>
          <w:numId w:val="15"/>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Adatvédelmi Tisztviselő vagy a további tájékoztatást nyújtó egyéb kapcsolattartó nevét és elérhetőségét,</w:t>
      </w:r>
    </w:p>
    <w:p w:rsidR="006C63CE" w:rsidRPr="00DE350A" w:rsidRDefault="006C63CE" w:rsidP="006C63CE">
      <w:pPr>
        <w:pStyle w:val="Listaszerbekezds"/>
        <w:numPr>
          <w:ilvl w:val="0"/>
          <w:numId w:val="15"/>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adatvédelmi incidensből eredő, valószínűsíthető következményeket,</w:t>
      </w:r>
    </w:p>
    <w:p w:rsidR="006C63CE" w:rsidRPr="00DE350A" w:rsidRDefault="006C63CE" w:rsidP="006C63CE">
      <w:pPr>
        <w:pStyle w:val="Listaszerbekezds"/>
        <w:numPr>
          <w:ilvl w:val="0"/>
          <w:numId w:val="15"/>
        </w:numPr>
        <w:spacing w:before="6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által az adatvédelmi incidens orvoslására tett vagy tervezett intézkedéseket, beleértve adott esetben az adatvédelmi incidensből eredő esetleges hátrányos következmények enyhítését célzó intézkedéseket.</w:t>
      </w:r>
    </w:p>
    <w:p w:rsidR="006C63CE" w:rsidRPr="00DE350A" w:rsidRDefault="006C63CE" w:rsidP="006C63CE">
      <w:pPr>
        <w:shd w:val="clear" w:color="auto" w:fill="FFFFFF"/>
        <w:spacing w:after="120" w:line="312" w:lineRule="atLeast"/>
        <w:jc w:val="both"/>
        <w:textAlignment w:val="baseline"/>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Az Érintett tájékoztatása nem szükséges, amennyiben a következő feltételek bármelyike teljesül:</w:t>
      </w:r>
    </w:p>
    <w:p w:rsidR="006C63CE" w:rsidRPr="00DE350A" w:rsidRDefault="006C63CE" w:rsidP="006C63CE">
      <w:pPr>
        <w:pStyle w:val="Listaszerbekezds"/>
        <w:numPr>
          <w:ilvl w:val="0"/>
          <w:numId w:val="16"/>
        </w:numPr>
        <w:shd w:val="clear" w:color="auto" w:fill="FFFFFF"/>
        <w:spacing w:before="60" w:after="0" w:line="240" w:lineRule="auto"/>
        <w:ind w:left="992" w:hanging="635"/>
        <w:contextualSpacing w:val="0"/>
        <w:jc w:val="both"/>
        <w:textAlignment w:val="baseline"/>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 Vállalkozás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6C63CE" w:rsidRPr="00DE350A" w:rsidRDefault="006C63CE" w:rsidP="006C63CE">
      <w:pPr>
        <w:pStyle w:val="Listaszerbekezds"/>
        <w:numPr>
          <w:ilvl w:val="0"/>
          <w:numId w:val="16"/>
        </w:numPr>
        <w:shd w:val="clear" w:color="auto" w:fill="FFFFFF"/>
        <w:spacing w:before="60" w:after="0" w:line="240" w:lineRule="auto"/>
        <w:ind w:left="992" w:hanging="635"/>
        <w:contextualSpacing w:val="0"/>
        <w:jc w:val="both"/>
        <w:textAlignment w:val="baseline"/>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lastRenderedPageBreak/>
        <w:t>a Vállalkozás az adatvédelmi incidenst követően olyan további intézkedéseket tett, amelyek biztosítják, hogy az érintett jogaira és szabadságaira jelentett magas kockázat a továbbiakban valószínűsíthetően nem valósul meg,</w:t>
      </w:r>
    </w:p>
    <w:p w:rsidR="006C63CE" w:rsidRPr="00DE350A" w:rsidRDefault="006C63CE" w:rsidP="006C63CE">
      <w:pPr>
        <w:pStyle w:val="Listaszerbekezds"/>
        <w:numPr>
          <w:ilvl w:val="0"/>
          <w:numId w:val="16"/>
        </w:numPr>
        <w:shd w:val="clear" w:color="auto" w:fill="FFFFFF"/>
        <w:spacing w:before="60" w:line="240" w:lineRule="auto"/>
        <w:ind w:left="992" w:hanging="635"/>
        <w:contextualSpacing w:val="0"/>
        <w:jc w:val="both"/>
        <w:textAlignment w:val="baseline"/>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 tájékoztatás aránytalan erőfeszítést tenne szükségessé. Ilyen esetekben az Érintetteket nyilvánosan, a helyben szokásos módon közzétett információk útján kell tájékoztatni, vagy olyan hasonló intézkedést kell hozni, amely biztosítja az érintettek hasonlóan hatékony tájékoztatását.</w:t>
      </w:r>
    </w:p>
    <w:p w:rsidR="006C63CE" w:rsidRPr="00DE350A" w:rsidRDefault="006C63CE" w:rsidP="006C63CE">
      <w:pPr>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Amennyiben a Vállalkozás még nem értesítette az Érintettet az adatvédelmi incidensről, a felügyeleti hatóság, miután mérlegelte, hogy az adatvédelmi incidens valószínűsíthetően magas kockázattal jár-e, elrendelheti az Érintett tájékoztatását, vagy megállapíthatja a fenti feltételek valamelyikének teljesülését és így azt, hogy az Érintett tájékoztatása nem szükséges.</w:t>
      </w:r>
    </w:p>
    <w:p w:rsidR="006C63CE" w:rsidRPr="00DE350A" w:rsidRDefault="006C63CE" w:rsidP="006C63CE">
      <w:pPr>
        <w:pStyle w:val="Cmsor1"/>
        <w:numPr>
          <w:ilvl w:val="0"/>
          <w:numId w:val="34"/>
        </w:numPr>
        <w:jc w:val="both"/>
        <w:rPr>
          <w:rFonts w:ascii="Times New Roman" w:hAnsi="Times New Roman" w:cs="Times New Roman"/>
          <w:color w:val="auto"/>
          <w:sz w:val="24"/>
          <w:szCs w:val="24"/>
          <w:lang w:val="hu-HU"/>
        </w:rPr>
      </w:pPr>
      <w:bookmarkStart w:id="104" w:name="_Toc510709516"/>
      <w:r w:rsidRPr="00DE350A">
        <w:rPr>
          <w:rFonts w:ascii="Times New Roman" w:hAnsi="Times New Roman" w:cs="Times New Roman"/>
          <w:color w:val="auto"/>
          <w:sz w:val="24"/>
          <w:szCs w:val="24"/>
          <w:lang w:val="hu-HU"/>
        </w:rPr>
        <w:t>Adatkezelési nyilvántartások</w:t>
      </w:r>
      <w:bookmarkEnd w:id="104"/>
    </w:p>
    <w:p w:rsidR="006C63CE" w:rsidRPr="00DE350A" w:rsidRDefault="006C63CE" w:rsidP="006C63CE">
      <w:pPr>
        <w:pStyle w:val="Cmsor2"/>
        <w:numPr>
          <w:ilvl w:val="1"/>
          <w:numId w:val="34"/>
        </w:numPr>
        <w:jc w:val="both"/>
        <w:rPr>
          <w:rFonts w:ascii="Times New Roman" w:hAnsi="Times New Roman" w:cs="Times New Roman"/>
          <w:color w:val="auto"/>
          <w:sz w:val="24"/>
          <w:szCs w:val="24"/>
        </w:rPr>
      </w:pPr>
      <w:bookmarkStart w:id="105" w:name="_Toc510709517"/>
      <w:r w:rsidRPr="00DE350A">
        <w:rPr>
          <w:rFonts w:ascii="Times New Roman" w:hAnsi="Times New Roman" w:cs="Times New Roman"/>
          <w:color w:val="auto"/>
          <w:sz w:val="24"/>
          <w:szCs w:val="24"/>
        </w:rPr>
        <w:t>Adatkezelési tevékenységek nyilvántartása</w:t>
      </w:r>
      <w:bookmarkEnd w:id="105"/>
    </w:p>
    <w:p w:rsidR="006C63CE" w:rsidRPr="00DE350A" w:rsidRDefault="006C63CE" w:rsidP="006C63CE">
      <w:pPr>
        <w:spacing w:before="120" w:after="0" w:line="240" w:lineRule="auto"/>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 xml:space="preserve">A Vállalkozás </w:t>
      </w:r>
      <w:r w:rsidRPr="00DE350A">
        <w:rPr>
          <w:rFonts w:ascii="Times New Roman" w:eastAsia="Times New Roman" w:hAnsi="Times New Roman" w:cs="Times New Roman"/>
          <w:sz w:val="24"/>
          <w:szCs w:val="24"/>
          <w:u w:val="single"/>
          <w:lang w:val="hu-HU"/>
        </w:rPr>
        <w:t>és a Vállalkozás képviselője</w:t>
      </w:r>
      <w:r w:rsidRPr="00DE350A">
        <w:rPr>
          <w:rFonts w:ascii="Times New Roman" w:eastAsia="Times New Roman" w:hAnsi="Times New Roman" w:cs="Times New Roman"/>
          <w:sz w:val="24"/>
          <w:szCs w:val="24"/>
          <w:lang w:val="hu-HU"/>
        </w:rPr>
        <w:t xml:space="preserve"> a felelősségébe tartozóan végzett adatkezelési tevékenységekről írásban, ideértve az elektronikus dokumentumot is, nyilvántartást köteles vezetni a GDPR 30. cikkének megfelelően, ami a következő információkat tartalmazza:</w:t>
      </w:r>
    </w:p>
    <w:p w:rsidR="006C63CE" w:rsidRPr="00DE350A" w:rsidRDefault="006C63CE" w:rsidP="006C63CE">
      <w:pPr>
        <w:pStyle w:val="Listaszerbekezds"/>
        <w:numPr>
          <w:ilvl w:val="0"/>
          <w:numId w:val="17"/>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 xml:space="preserve">a Vállakozás neve és elérhetősége, valamint – ha van ilyen – a közös adatkezelőnek, </w:t>
      </w:r>
      <w:r w:rsidRPr="00DE350A">
        <w:rPr>
          <w:rFonts w:ascii="Times New Roman" w:eastAsia="Times New Roman" w:hAnsi="Times New Roman" w:cs="Times New Roman"/>
          <w:sz w:val="24"/>
          <w:szCs w:val="24"/>
          <w:u w:val="single"/>
          <w:lang w:val="hu-HU"/>
        </w:rPr>
        <w:t>az adatkezelő képviselőjének</w:t>
      </w:r>
      <w:r w:rsidRPr="00DE350A">
        <w:rPr>
          <w:rFonts w:ascii="Times New Roman" w:eastAsia="Times New Roman" w:hAnsi="Times New Roman" w:cs="Times New Roman"/>
          <w:sz w:val="24"/>
          <w:szCs w:val="24"/>
          <w:lang w:val="hu-HU"/>
        </w:rPr>
        <w:t xml:space="preserve"> és az adatvédelmi tisztviselőnek a neve és elérhetősége,</w:t>
      </w:r>
    </w:p>
    <w:p w:rsidR="006C63CE" w:rsidRPr="00DE350A" w:rsidRDefault="006C63CE" w:rsidP="006C63CE">
      <w:pPr>
        <w:pStyle w:val="Listaszerbekezds"/>
        <w:numPr>
          <w:ilvl w:val="0"/>
          <w:numId w:val="17"/>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az adatkezelés céljai,</w:t>
      </w:r>
    </w:p>
    <w:p w:rsidR="006C63CE" w:rsidRPr="00DE350A" w:rsidRDefault="006C63CE" w:rsidP="006C63CE">
      <w:pPr>
        <w:pStyle w:val="Listaszerbekezds"/>
        <w:numPr>
          <w:ilvl w:val="0"/>
          <w:numId w:val="17"/>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az Érintettek kategóriáinak, valamint a személyes adatok kategóriáinak ismertetése,</w:t>
      </w:r>
    </w:p>
    <w:p w:rsidR="006C63CE" w:rsidRPr="00DE350A" w:rsidRDefault="006C63CE" w:rsidP="006C63CE">
      <w:pPr>
        <w:pStyle w:val="Listaszerbekezds"/>
        <w:numPr>
          <w:ilvl w:val="0"/>
          <w:numId w:val="17"/>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olyan címzettek kategóriái, akikkel a személyes adatokat közlik vagy közölni fogják, ideértve a harmadik országbeli címzetteket vagy nemzetközi szervezeteket,</w:t>
      </w:r>
    </w:p>
    <w:p w:rsidR="006C63CE" w:rsidRPr="00DE350A" w:rsidRDefault="006C63CE" w:rsidP="006C63CE">
      <w:pPr>
        <w:pStyle w:val="Listaszerbekezds"/>
        <w:numPr>
          <w:ilvl w:val="0"/>
          <w:numId w:val="17"/>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adott esetben a személyes adatok harmadik országba vagy nemzetközi szervezet részére történő továbbítására vonatkozó információk, beleértve a harmadik ország vagy a nemzetközi szervezet azonosítását, valamint a GDPR 49. cikk (1) bekezdésének második albekezdés szerinti továbbítás esetében a megfelelő garanciák leírása,</w:t>
      </w:r>
    </w:p>
    <w:p w:rsidR="006C63CE" w:rsidRPr="00DE350A" w:rsidRDefault="006C63CE" w:rsidP="006C63CE">
      <w:pPr>
        <w:pStyle w:val="Listaszerbekezds"/>
        <w:numPr>
          <w:ilvl w:val="0"/>
          <w:numId w:val="17"/>
        </w:numPr>
        <w:spacing w:before="60" w:after="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ha lehetséges, a különböző adatkategóriák törlésére előirányzott határidők,</w:t>
      </w:r>
    </w:p>
    <w:p w:rsidR="006C63CE" w:rsidRPr="00DE350A" w:rsidRDefault="006C63CE" w:rsidP="006C63CE">
      <w:pPr>
        <w:pStyle w:val="Listaszerbekezds"/>
        <w:numPr>
          <w:ilvl w:val="0"/>
          <w:numId w:val="17"/>
        </w:numPr>
        <w:spacing w:before="60" w:line="240" w:lineRule="auto"/>
        <w:ind w:left="992" w:hanging="635"/>
        <w:contextualSpacing w:val="0"/>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ha lehetséges, a GDPR 32. cikk (1) bekezdésében említett technikai és szervezési intézkedések általános leírása.</w:t>
      </w:r>
    </w:p>
    <w:p w:rsidR="006C63CE" w:rsidRPr="00DE350A" w:rsidRDefault="006C63CE" w:rsidP="006C63CE">
      <w:pPr>
        <w:spacing w:before="60" w:line="240" w:lineRule="auto"/>
        <w:jc w:val="both"/>
        <w:rPr>
          <w:rFonts w:ascii="Times New Roman" w:eastAsia="Times New Roman" w:hAnsi="Times New Roman" w:cs="Times New Roman"/>
          <w:sz w:val="24"/>
          <w:szCs w:val="24"/>
          <w:lang w:val="hu-HU"/>
        </w:rPr>
      </w:pPr>
      <w:r w:rsidRPr="00DE350A">
        <w:rPr>
          <w:rFonts w:ascii="Times New Roman" w:eastAsia="Times New Roman" w:hAnsi="Times New Roman" w:cs="Times New Roman"/>
          <w:sz w:val="24"/>
          <w:szCs w:val="24"/>
          <w:lang w:val="hu-HU"/>
        </w:rPr>
        <w:t xml:space="preserve">A Vállalkozás </w:t>
      </w:r>
      <w:r w:rsidRPr="00DE350A">
        <w:rPr>
          <w:rFonts w:ascii="Times New Roman" w:eastAsia="Times New Roman" w:hAnsi="Times New Roman" w:cs="Times New Roman"/>
          <w:sz w:val="24"/>
          <w:szCs w:val="24"/>
          <w:u w:val="single"/>
          <w:lang w:val="hu-HU"/>
        </w:rPr>
        <w:t>és a Vállalkozás képviselője</w:t>
      </w:r>
      <w:r w:rsidRPr="00DE350A">
        <w:rPr>
          <w:rFonts w:ascii="Times New Roman" w:eastAsia="Times New Roman" w:hAnsi="Times New Roman" w:cs="Times New Roman"/>
          <w:sz w:val="24"/>
          <w:szCs w:val="24"/>
          <w:lang w:val="hu-HU"/>
        </w:rPr>
        <w:t xml:space="preserve"> köteles a nyilvántartást megkeresés alapján a felügyeleti hatóság részére hozzáférhetővé tenni.</w:t>
      </w:r>
    </w:p>
    <w:p w:rsidR="006C63CE" w:rsidRPr="00DE350A" w:rsidRDefault="006C63CE" w:rsidP="006C63CE">
      <w:pPr>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t>Az adatkezelési tevékenységek nyilvántartását a GDPR 30. cikke szerint el kell végezni. Az adatkezelési nyilvántartást elektronikus formátumban is el lehet készíteni. A nyilvántartásban feltüntetett adatoknak aktuálisnak kell lenniük. Tehát szükséges a nyilvántartás folyamatos felülvizsgálata, ill. aktualizálása.</w:t>
      </w:r>
    </w:p>
    <w:p w:rsidR="006C63CE" w:rsidRPr="00DE350A" w:rsidRDefault="006C63CE" w:rsidP="006C63CE">
      <w:pPr>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t>Nem szükséges elkészíteni az adatkezelési tevékenységek nyilvántartását, ha a Vállalkozás 250 főnél kevesebb személyt foglalkoztat. Azonban szükséges a jelen nyilvántartás vezetése,</w:t>
      </w:r>
    </w:p>
    <w:p w:rsidR="006C63CE" w:rsidRPr="00DE350A" w:rsidRDefault="006C63CE" w:rsidP="006C63CE">
      <w:pPr>
        <w:pStyle w:val="Listaszerbekezds"/>
        <w:numPr>
          <w:ilvl w:val="0"/>
          <w:numId w:val="31"/>
        </w:numPr>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t xml:space="preserve">ha az Adatkezelő által végzett adatkezelés az Érintettek jogaira és szabadságaira nézve valószínűsíthetően kockázattal jár, </w:t>
      </w:r>
    </w:p>
    <w:p w:rsidR="006C63CE" w:rsidRPr="00DE350A" w:rsidRDefault="006C63CE" w:rsidP="006C63CE">
      <w:pPr>
        <w:pStyle w:val="Listaszerbekezds"/>
        <w:numPr>
          <w:ilvl w:val="0"/>
          <w:numId w:val="31"/>
        </w:numPr>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t xml:space="preserve">ha az adatkezelés nem alkalmi jellegű, vagy </w:t>
      </w:r>
    </w:p>
    <w:p w:rsidR="006C63CE" w:rsidRPr="00DE350A" w:rsidRDefault="006C63CE" w:rsidP="006C63CE">
      <w:pPr>
        <w:pStyle w:val="Listaszerbekezds"/>
        <w:numPr>
          <w:ilvl w:val="0"/>
          <w:numId w:val="31"/>
        </w:numPr>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lastRenderedPageBreak/>
        <w:t>ha az adatkezelés kiterjed a személyes adatok különleges kategóriáira vagy a büntetőjogi felelősség megállapítására vonatkozó határozatokra és bűncselekményekre vonatkozó személyes adatoknak a kezelésére.</w:t>
      </w:r>
    </w:p>
    <w:p w:rsidR="006C63CE" w:rsidRPr="00DE350A" w:rsidRDefault="006C63CE" w:rsidP="006C63CE">
      <w:pPr>
        <w:pStyle w:val="Cmsor2"/>
        <w:numPr>
          <w:ilvl w:val="1"/>
          <w:numId w:val="34"/>
        </w:numPr>
        <w:jc w:val="both"/>
        <w:rPr>
          <w:rFonts w:ascii="Times New Roman" w:hAnsi="Times New Roman" w:cs="Times New Roman"/>
          <w:color w:val="auto"/>
          <w:sz w:val="24"/>
          <w:szCs w:val="24"/>
        </w:rPr>
      </w:pPr>
      <w:bookmarkStart w:id="106" w:name="_Toc510709518"/>
      <w:r w:rsidRPr="00DE350A">
        <w:rPr>
          <w:rFonts w:ascii="Times New Roman" w:hAnsi="Times New Roman" w:cs="Times New Roman"/>
          <w:color w:val="auto"/>
          <w:sz w:val="24"/>
          <w:szCs w:val="24"/>
        </w:rPr>
        <w:t>Adatvédelmi incidensek nyilvántartása</w:t>
      </w:r>
      <w:bookmarkEnd w:id="106"/>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nyilvántartja az adatvédelmi incidenseket az alábbi információkkal:</w:t>
      </w:r>
    </w:p>
    <w:p w:rsidR="006C63CE" w:rsidRPr="00DE350A" w:rsidRDefault="006C63CE" w:rsidP="006C63CE">
      <w:pPr>
        <w:pStyle w:val="Listaszerbekezds"/>
        <w:numPr>
          <w:ilvl w:val="0"/>
          <w:numId w:val="18"/>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az adatvédelmi incidenshez kapcsolódó tények, </w:t>
      </w:r>
    </w:p>
    <w:p w:rsidR="006C63CE" w:rsidRPr="00DE350A" w:rsidRDefault="006C63CE" w:rsidP="006C63CE">
      <w:pPr>
        <w:pStyle w:val="Listaszerbekezds"/>
        <w:numPr>
          <w:ilvl w:val="0"/>
          <w:numId w:val="18"/>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annak hatásai és </w:t>
      </w:r>
    </w:p>
    <w:p w:rsidR="006C63CE" w:rsidRPr="00DE350A" w:rsidRDefault="006C63CE" w:rsidP="006C63CE">
      <w:pPr>
        <w:pStyle w:val="Listaszerbekezds"/>
        <w:numPr>
          <w:ilvl w:val="0"/>
          <w:numId w:val="18"/>
        </w:numPr>
        <w:spacing w:before="6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orvoslására tett intézkedések.</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Jelen nyilvántartásba a felügyeleti hatóság betekinthet és ellenőrizheti, hogy a GDPR 33. cikk rendelkezéseinek betartását.</w:t>
      </w:r>
    </w:p>
    <w:p w:rsidR="006C63CE" w:rsidRPr="00DE350A" w:rsidRDefault="006C63CE" w:rsidP="006C63CE">
      <w:pPr>
        <w:pStyle w:val="Cmsor1"/>
        <w:numPr>
          <w:ilvl w:val="0"/>
          <w:numId w:val="34"/>
        </w:numPr>
        <w:spacing w:after="240"/>
        <w:jc w:val="both"/>
        <w:rPr>
          <w:rFonts w:ascii="Times New Roman" w:hAnsi="Times New Roman" w:cs="Times New Roman"/>
          <w:color w:val="auto"/>
          <w:sz w:val="24"/>
          <w:szCs w:val="24"/>
          <w:lang w:val="hu-HU"/>
        </w:rPr>
      </w:pPr>
      <w:bookmarkStart w:id="107" w:name="_Toc510709520"/>
      <w:r w:rsidRPr="00DE350A">
        <w:rPr>
          <w:rFonts w:ascii="Times New Roman" w:hAnsi="Times New Roman" w:cs="Times New Roman"/>
          <w:color w:val="auto"/>
          <w:sz w:val="24"/>
          <w:szCs w:val="24"/>
          <w:lang w:val="hu-HU"/>
        </w:rPr>
        <w:t>Adatvédelmi hatásvizsgálat</w:t>
      </w:r>
      <w:bookmarkEnd w:id="107"/>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adatvédelmi hatásvizsgálat során a Vállalkozás az olyan adatkezelések esetében, amelyek valószínűsíthetően magas kockázattal járnak a természetes személyek jogaira és szabadságaira hastásvizsgálatot köteles végezni. A hatásvizsgálat legalább az alábbi információkat tartalmazza:</w:t>
      </w:r>
    </w:p>
    <w:p w:rsidR="006C63CE" w:rsidRPr="00DE350A" w:rsidRDefault="006C63CE" w:rsidP="006C63CE">
      <w:pPr>
        <w:pStyle w:val="Listaszerbekezds"/>
        <w:numPr>
          <w:ilvl w:val="0"/>
          <w:numId w:val="22"/>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tervezett adatkezelési műveletek módszeres leírására és az adatkezelés céljainak ismertetésére, beleértve adott esetben az adatkezelő által érvényesíteni kívánt jogos érdeket,</w:t>
      </w:r>
    </w:p>
    <w:p w:rsidR="006C63CE" w:rsidRPr="00DE350A" w:rsidRDefault="006C63CE" w:rsidP="006C63CE">
      <w:pPr>
        <w:pStyle w:val="Listaszerbekezds"/>
        <w:numPr>
          <w:ilvl w:val="0"/>
          <w:numId w:val="22"/>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shd w:val="clear" w:color="auto" w:fill="FFFFFF"/>
          <w:lang w:val="hu-HU"/>
        </w:rPr>
        <w:t>az adatkezelés céljaira figyelemmel az adatkezelési műveletek szükségességi és arányossági vizsgálatára,</w:t>
      </w:r>
    </w:p>
    <w:p w:rsidR="006C63CE" w:rsidRPr="00DE350A" w:rsidRDefault="006C63CE" w:rsidP="006C63CE">
      <w:pPr>
        <w:pStyle w:val="Listaszerbekezds"/>
        <w:numPr>
          <w:ilvl w:val="0"/>
          <w:numId w:val="22"/>
        </w:numPr>
        <w:spacing w:before="60" w:after="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shd w:val="clear" w:color="auto" w:fill="FFFFFF"/>
          <w:lang w:val="hu-HU"/>
        </w:rPr>
        <w:t>az Érintett jogait és szabadságait érintő kockázatok vizsgálatára,</w:t>
      </w:r>
    </w:p>
    <w:p w:rsidR="006C63CE" w:rsidRPr="00DE350A" w:rsidRDefault="006C63CE" w:rsidP="006C63CE">
      <w:pPr>
        <w:pStyle w:val="Listaszerbekezds"/>
        <w:numPr>
          <w:ilvl w:val="0"/>
          <w:numId w:val="22"/>
        </w:numPr>
        <w:spacing w:before="60"/>
        <w:ind w:left="993" w:hanging="636"/>
        <w:contextualSpacing w:val="0"/>
        <w:jc w:val="both"/>
        <w:rPr>
          <w:rFonts w:ascii="Times New Roman" w:hAnsi="Times New Roman" w:cs="Times New Roman"/>
          <w:sz w:val="24"/>
          <w:szCs w:val="24"/>
          <w:lang w:val="hu-HU"/>
        </w:rPr>
      </w:pPr>
      <w:r w:rsidRPr="00DE350A">
        <w:rPr>
          <w:rFonts w:ascii="Times New Roman" w:hAnsi="Times New Roman" w:cs="Times New Roman"/>
          <w:sz w:val="24"/>
          <w:szCs w:val="24"/>
          <w:shd w:val="clear" w:color="auto" w:fill="FFFFFF"/>
          <w:lang w:val="hu-HU"/>
        </w:rPr>
        <w:t>a kockázatok kezelését célzó intézkedések bemutatására, ideértve a személyes adatok védelmét és a GDPR-ral való összhang igazolását szolgáló, az érintettek és más személyek jogait és jogos érdekeit figyelembe vevő garanciákat, biztonsági intézkedéseket és mechanizmusokat.</w:t>
      </w:r>
    </w:p>
    <w:p w:rsidR="006C63CE" w:rsidRPr="00DE350A" w:rsidRDefault="006C63CE" w:rsidP="006C63CE">
      <w:pPr>
        <w:spacing w:before="60"/>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t xml:space="preserve"> </w:t>
      </w:r>
    </w:p>
    <w:p w:rsidR="006C63CE" w:rsidRPr="00DE350A" w:rsidRDefault="006C63CE" w:rsidP="00D7126E">
      <w:pPr>
        <w:pStyle w:val="Cmsor1"/>
        <w:numPr>
          <w:ilvl w:val="0"/>
          <w:numId w:val="39"/>
        </w:numPr>
        <w:spacing w:after="240"/>
        <w:jc w:val="both"/>
        <w:rPr>
          <w:rFonts w:ascii="Times New Roman" w:hAnsi="Times New Roman" w:cs="Times New Roman"/>
          <w:color w:val="auto"/>
          <w:sz w:val="24"/>
          <w:szCs w:val="24"/>
          <w:lang w:val="hu-HU"/>
        </w:rPr>
      </w:pPr>
      <w:bookmarkStart w:id="108" w:name="_Toc510709521"/>
      <w:r w:rsidRPr="00DE350A">
        <w:rPr>
          <w:rFonts w:ascii="Times New Roman" w:hAnsi="Times New Roman" w:cs="Times New Roman"/>
          <w:color w:val="auto"/>
          <w:sz w:val="24"/>
          <w:szCs w:val="24"/>
          <w:lang w:val="hu-HU"/>
        </w:rPr>
        <w:t>Oktatás</w:t>
      </w:r>
      <w:bookmarkEnd w:id="108"/>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Vállalkozás köteles gondoskodni a Vállalkozásnál az adatkezelési műveletekben részt vevő személyek adatvédelmi tudatosság-növeléséről és képzéséről.</w:t>
      </w:r>
    </w:p>
    <w:p w:rsidR="006C63CE" w:rsidRPr="00DE350A" w:rsidRDefault="006C63CE" w:rsidP="00D7126E">
      <w:pPr>
        <w:pStyle w:val="Cmsor1"/>
        <w:numPr>
          <w:ilvl w:val="0"/>
          <w:numId w:val="39"/>
        </w:numPr>
        <w:spacing w:after="240"/>
        <w:jc w:val="both"/>
        <w:rPr>
          <w:rFonts w:ascii="Times New Roman" w:hAnsi="Times New Roman" w:cs="Times New Roman"/>
          <w:color w:val="auto"/>
          <w:sz w:val="24"/>
          <w:szCs w:val="24"/>
          <w:lang w:val="hu-HU"/>
        </w:rPr>
      </w:pPr>
      <w:bookmarkStart w:id="109" w:name="_Toc510709523"/>
      <w:r w:rsidRPr="00DE350A">
        <w:rPr>
          <w:rFonts w:ascii="Times New Roman" w:hAnsi="Times New Roman" w:cs="Times New Roman"/>
          <w:color w:val="auto"/>
          <w:sz w:val="24"/>
          <w:szCs w:val="24"/>
          <w:lang w:val="hu-HU"/>
        </w:rPr>
        <w:t>Adatkezelés biztonsága</w:t>
      </w:r>
      <w:bookmarkEnd w:id="109"/>
    </w:p>
    <w:p w:rsidR="006C63CE" w:rsidRPr="00DE350A" w:rsidRDefault="006C63CE" w:rsidP="006C63CE">
      <w:pPr>
        <w:spacing w:before="120"/>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t>Az Adatkezelő által végrehajtott technikai és szervezési intézkedések bemutatása a GDPR 32. cikk szerint.</w:t>
      </w:r>
    </w:p>
    <w:p w:rsidR="006C63CE" w:rsidRPr="00DE350A" w:rsidRDefault="006C63CE" w:rsidP="00D7126E">
      <w:pPr>
        <w:pStyle w:val="Cmsor1"/>
        <w:numPr>
          <w:ilvl w:val="0"/>
          <w:numId w:val="39"/>
        </w:numPr>
        <w:spacing w:after="240"/>
        <w:jc w:val="both"/>
        <w:rPr>
          <w:rFonts w:ascii="Times New Roman" w:hAnsi="Times New Roman" w:cs="Times New Roman"/>
          <w:color w:val="auto"/>
          <w:sz w:val="24"/>
          <w:szCs w:val="24"/>
          <w:lang w:val="hu-HU"/>
        </w:rPr>
      </w:pPr>
      <w:bookmarkStart w:id="110" w:name="_Toc510709524"/>
      <w:r w:rsidRPr="00DE350A">
        <w:rPr>
          <w:rFonts w:ascii="Times New Roman" w:hAnsi="Times New Roman" w:cs="Times New Roman"/>
          <w:color w:val="auto"/>
          <w:sz w:val="24"/>
          <w:szCs w:val="24"/>
          <w:lang w:val="hu-HU"/>
        </w:rPr>
        <w:t>Egyéb rendelkezések</w:t>
      </w:r>
      <w:bookmarkEnd w:id="110"/>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 jelen Szabályzatban az európai uniós jogon vagy az Európai Unión az EGT tagállamokban alkalmazandó jogot és az EGT tagállamokat is érteni kell.</w:t>
      </w:r>
    </w:p>
    <w:p w:rsidR="006C63CE" w:rsidRPr="00DE350A" w:rsidRDefault="006C63CE" w:rsidP="006C63CE">
      <w:pPr>
        <w:jc w:val="both"/>
        <w:rPr>
          <w:rFonts w:ascii="Times New Roman" w:hAnsi="Times New Roman" w:cs="Times New Roman"/>
          <w:i/>
          <w:sz w:val="24"/>
          <w:szCs w:val="24"/>
          <w:lang w:val="hu-HU"/>
        </w:rPr>
      </w:pPr>
      <w:r w:rsidRPr="00DE350A">
        <w:rPr>
          <w:rFonts w:ascii="Times New Roman" w:hAnsi="Times New Roman" w:cs="Times New Roman"/>
          <w:i/>
          <w:sz w:val="24"/>
          <w:szCs w:val="24"/>
          <w:lang w:val="hu-HU"/>
        </w:rPr>
        <w:lastRenderedPageBreak/>
        <w:t>Jelen rendelkezés abban az esetben szükséges, ha az EFTA tagállamok (vagyis Norvégia, Liechtenstein és Izland) hivatalosan is kinyilvánítják a GDPR rendelkezéseinek alkalmazását. Ezirányú eljárás jelenleg folyamatban van. Erre vonatkozó megjegyzést ld. szintén a bevezető megjegyzéseknél.</w:t>
      </w:r>
    </w:p>
    <w:p w:rsidR="006C63CE" w:rsidRPr="00DE350A" w:rsidRDefault="006C63CE" w:rsidP="00D7126E">
      <w:pPr>
        <w:pStyle w:val="Cmsor1"/>
        <w:numPr>
          <w:ilvl w:val="0"/>
          <w:numId w:val="39"/>
        </w:numPr>
        <w:spacing w:after="240"/>
        <w:jc w:val="both"/>
        <w:rPr>
          <w:rFonts w:ascii="Times New Roman" w:hAnsi="Times New Roman" w:cs="Times New Roman"/>
          <w:color w:val="auto"/>
          <w:sz w:val="24"/>
          <w:szCs w:val="24"/>
          <w:lang w:val="hu-HU"/>
        </w:rPr>
      </w:pPr>
      <w:bookmarkStart w:id="111" w:name="_Toc510709525"/>
      <w:r w:rsidRPr="00DE350A">
        <w:rPr>
          <w:rFonts w:ascii="Times New Roman" w:hAnsi="Times New Roman" w:cs="Times New Roman"/>
          <w:color w:val="auto"/>
          <w:sz w:val="24"/>
          <w:szCs w:val="24"/>
          <w:lang w:val="hu-HU"/>
        </w:rPr>
        <w:t>Hatály és felülvizsgálati rend</w:t>
      </w:r>
      <w:bookmarkEnd w:id="111"/>
    </w:p>
    <w:p w:rsidR="006C63CE" w:rsidRPr="00DE350A" w:rsidRDefault="006C63CE" w:rsidP="006C63CE">
      <w:pPr>
        <w:spacing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Adatkezelési Szabályzat 2018. május 25. napján lép hatályba és visszavonásig érvényes. Az Adatkezelési Szabályzat hatályba lépésével minden olyan korábban hatályos belső szabályzat, illetve munkáltatói utasítás hatályát veszti, amelynek figyelembevételével a Vállalkozás az Adatkezelési Szabályzat hatálya alá személyes adatokat kezelték.</w:t>
      </w:r>
    </w:p>
    <w:p w:rsidR="006C63CE" w:rsidRPr="00DE350A" w:rsidRDefault="006C63CE" w:rsidP="006C63CE">
      <w:pPr>
        <w:spacing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Adatkezelési Szabályzat hatályba lépésének fordulónapjával bezárólag minden évben legalább egyszer felülvizsgálatra kerül, azzal, hogy a felülvizsgálat valamennyi melléklet tartalmára is maradéktalanul kiterjed. Amennyiben szükséges, az irodavezető, mint felülvizsgálatért felelős tisztviselő a jogszabályi és a belső szervezeti változásoknak megfelelően intézkedik az Adatkezelési Szabályzat megfelelő módosítása iránt, gondoskodik a módosított Adatkezelési Szabályzat hatályba léptetéséről és kihirdetéséről, valamint arról, hogy az Adatkezelési Szabályzat személyi hatálya alá tartozó személyek a módosítások tartalmáról tudomást szerezzenek.</w:t>
      </w:r>
    </w:p>
    <w:p w:rsidR="006C63CE" w:rsidRPr="00DE350A" w:rsidRDefault="006C63CE" w:rsidP="006C63CE">
      <w:pPr>
        <w:spacing w:after="120"/>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Az Adatkezelési Szabályzat rá irányadó szabályainak megismerése és betartása a Vállalkozás minden képviselője, tisztségviselője és megbízottja számára kötelező, feladataikat kötelesek az Adatkezelési Szabályzat előírásainak maradéktalan betartásával ellátni.</w:t>
      </w:r>
    </w:p>
    <w:p w:rsidR="006C63CE" w:rsidRDefault="006C63CE" w:rsidP="006C63CE">
      <w:pPr>
        <w:autoSpaceDE w:val="0"/>
        <w:autoSpaceDN w:val="0"/>
        <w:adjustRightInd w:val="0"/>
        <w:spacing w:before="240" w:after="240" w:line="240" w:lineRule="auto"/>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Jogszabályváltozás esetén, továbbá a jelen szabályzat egyéb okból történő módosítása esetén a Tájékoztatót a jogszabályi változás alapulvételével, illetve egyéb okból módosítani kell és az Érintettekkel meg kel</w:t>
      </w:r>
      <w:r>
        <w:rPr>
          <w:rFonts w:ascii="Times New Roman" w:hAnsi="Times New Roman" w:cs="Times New Roman"/>
          <w:sz w:val="24"/>
          <w:szCs w:val="24"/>
          <w:lang w:val="hu-HU"/>
        </w:rPr>
        <w:t>l ismertetni a módosítás szövegét.</w:t>
      </w:r>
      <w:r w:rsidRPr="00DE350A">
        <w:rPr>
          <w:rFonts w:ascii="Times New Roman" w:hAnsi="Times New Roman" w:cs="Times New Roman"/>
          <w:sz w:val="24"/>
          <w:szCs w:val="24"/>
          <w:lang w:val="hu-HU"/>
        </w:rPr>
        <w:t xml:space="preserve"> </w:t>
      </w:r>
    </w:p>
    <w:p w:rsidR="006C63CE" w:rsidRDefault="006C63CE" w:rsidP="006C63CE">
      <w:pPr>
        <w:autoSpaceDE w:val="0"/>
        <w:autoSpaceDN w:val="0"/>
        <w:adjustRightInd w:val="0"/>
        <w:spacing w:before="240" w:after="240" w:line="240" w:lineRule="auto"/>
        <w:jc w:val="both"/>
        <w:rPr>
          <w:rFonts w:ascii="Times New Roman" w:hAnsi="Times New Roman" w:cs="Times New Roman"/>
          <w:sz w:val="24"/>
          <w:szCs w:val="24"/>
          <w:lang w:val="hu-HU"/>
        </w:rPr>
      </w:pPr>
    </w:p>
    <w:p w:rsidR="006C63CE" w:rsidRPr="00DE350A" w:rsidRDefault="006C63CE" w:rsidP="006C63CE">
      <w:pPr>
        <w:autoSpaceDE w:val="0"/>
        <w:autoSpaceDN w:val="0"/>
        <w:adjustRightInd w:val="0"/>
        <w:spacing w:before="240" w:after="24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Bogács</w:t>
      </w:r>
      <w:r w:rsidRPr="00DE350A">
        <w:rPr>
          <w:rFonts w:ascii="Times New Roman" w:hAnsi="Times New Roman" w:cs="Times New Roman"/>
          <w:sz w:val="24"/>
          <w:szCs w:val="24"/>
          <w:lang w:val="hu-HU"/>
        </w:rPr>
        <w:t xml:space="preserve">, 2018. május </w:t>
      </w:r>
      <w:r>
        <w:rPr>
          <w:rFonts w:ascii="Times New Roman" w:hAnsi="Times New Roman" w:cs="Times New Roman"/>
          <w:sz w:val="24"/>
          <w:szCs w:val="24"/>
          <w:lang w:val="hu-HU"/>
        </w:rPr>
        <w:t>25</w:t>
      </w:r>
      <w:r w:rsidRPr="00DE350A">
        <w:rPr>
          <w:rFonts w:ascii="Times New Roman" w:hAnsi="Times New Roman" w:cs="Times New Roman"/>
          <w:sz w:val="24"/>
          <w:szCs w:val="24"/>
          <w:lang w:val="hu-HU"/>
        </w:rPr>
        <w:t>.</w:t>
      </w: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 xml:space="preserve"> </w:t>
      </w:r>
    </w:p>
    <w:p w:rsidR="006C63CE" w:rsidRPr="00DE350A" w:rsidRDefault="006C63CE" w:rsidP="006C63CE">
      <w:pPr>
        <w:jc w:val="both"/>
        <w:rPr>
          <w:rFonts w:ascii="Times New Roman" w:hAnsi="Times New Roman" w:cs="Times New Roman"/>
          <w:sz w:val="24"/>
          <w:szCs w:val="24"/>
          <w:lang w:val="hu-HU"/>
        </w:rPr>
      </w:pPr>
    </w:p>
    <w:p w:rsidR="006C63CE" w:rsidRPr="00DE350A" w:rsidRDefault="006C63CE" w:rsidP="006C63CE">
      <w:pPr>
        <w:jc w:val="both"/>
        <w:rPr>
          <w:rFonts w:ascii="Times New Roman" w:hAnsi="Times New Roman" w:cs="Times New Roman"/>
          <w:sz w:val="24"/>
          <w:szCs w:val="24"/>
          <w:lang w:val="hu-HU"/>
        </w:rPr>
      </w:pPr>
      <w:r w:rsidRPr="00DE350A">
        <w:rPr>
          <w:rFonts w:ascii="Times New Roman" w:hAnsi="Times New Roman" w:cs="Times New Roman"/>
          <w:sz w:val="24"/>
          <w:szCs w:val="24"/>
          <w:lang w:val="hu-HU"/>
        </w:rPr>
        <w:t>____________________________</w:t>
      </w:r>
    </w:p>
    <w:p w:rsidR="006C63CE" w:rsidRPr="00DE350A" w:rsidRDefault="006C63CE" w:rsidP="006C63CE">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Szepesi Vendéglátóipari Kft. </w:t>
      </w:r>
    </w:p>
    <w:p w:rsidR="000B5EA9" w:rsidRDefault="006C63CE" w:rsidP="006C63CE">
      <w:r w:rsidRPr="00DE350A">
        <w:rPr>
          <w:rFonts w:ascii="Times New Roman" w:hAnsi="Times New Roman" w:cs="Times New Roman"/>
          <w:sz w:val="24"/>
          <w:szCs w:val="24"/>
          <w:lang w:val="hu-HU"/>
        </w:rPr>
        <w:t xml:space="preserve">Képviseletében eljár: </w:t>
      </w:r>
      <w:r>
        <w:rPr>
          <w:rFonts w:ascii="Times New Roman" w:hAnsi="Times New Roman" w:cs="Times New Roman"/>
          <w:sz w:val="24"/>
          <w:szCs w:val="24"/>
          <w:lang w:val="hu-HU"/>
        </w:rPr>
        <w:t>Dr. Szepesi Ferenc ügyvezető</w:t>
      </w:r>
    </w:p>
    <w:sectPr w:rsidR="000B5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99" w:rsidRDefault="00C24E99" w:rsidP="006C63CE">
      <w:pPr>
        <w:spacing w:after="0" w:line="240" w:lineRule="auto"/>
      </w:pPr>
      <w:r>
        <w:separator/>
      </w:r>
    </w:p>
  </w:endnote>
  <w:endnote w:type="continuationSeparator" w:id="0">
    <w:p w:rsidR="00C24E99" w:rsidRDefault="00C24E99" w:rsidP="006C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CE" w:rsidRPr="006F7F53" w:rsidRDefault="006C63CE" w:rsidP="006C63CE">
    <w:pPr>
      <w:pStyle w:val="llb"/>
      <w:tabs>
        <w:tab w:val="clear" w:pos="4703"/>
      </w:tabs>
      <w:rPr>
        <w:rFonts w:ascii="Georgia" w:hAnsi="Georgia"/>
        <w:sz w:val="16"/>
        <w:szCs w:val="16"/>
      </w:rPr>
    </w:pPr>
    <w:sdt>
      <w:sdtPr>
        <w:id w:val="258107930"/>
        <w:docPartObj>
          <w:docPartGallery w:val="Page Numbers (Bottom of Page)"/>
          <w:docPartUnique/>
        </w:docPartObj>
      </w:sdtPr>
      <w:sdtEndPr>
        <w:rPr>
          <w:rFonts w:ascii="Georgia" w:hAnsi="Georgia"/>
          <w:sz w:val="16"/>
          <w:szCs w:val="16"/>
        </w:rPr>
      </w:sdtEndPr>
      <w:sdtContent>
        <w:sdt>
          <w:sdtPr>
            <w:id w:val="-1705238520"/>
            <w:docPartObj>
              <w:docPartGallery w:val="Page Numbers (Top of Page)"/>
              <w:docPartUnique/>
            </w:docPartObj>
          </w:sdtPr>
          <w:sdtEndPr>
            <w:rPr>
              <w:rFonts w:ascii="Georgia" w:hAnsi="Georgia"/>
              <w:sz w:val="16"/>
              <w:szCs w:val="16"/>
            </w:rPr>
          </w:sdtEndPr>
          <w:sdtContent>
            <w:r w:rsidRPr="006F7F53">
              <w:rPr>
                <w:rFonts w:ascii="Georgia" w:hAnsi="Georgia"/>
                <w:bCs/>
                <w:sz w:val="16"/>
                <w:szCs w:val="16"/>
              </w:rPr>
              <w:fldChar w:fldCharType="begin"/>
            </w:r>
            <w:r w:rsidRPr="006F7F53">
              <w:rPr>
                <w:rFonts w:ascii="Georgia" w:hAnsi="Georgia"/>
                <w:bCs/>
                <w:sz w:val="16"/>
                <w:szCs w:val="16"/>
              </w:rPr>
              <w:instrText xml:space="preserve"> PAGE </w:instrText>
            </w:r>
            <w:r w:rsidRPr="006F7F53">
              <w:rPr>
                <w:rFonts w:ascii="Georgia" w:hAnsi="Georgia"/>
                <w:bCs/>
                <w:sz w:val="16"/>
                <w:szCs w:val="16"/>
              </w:rPr>
              <w:fldChar w:fldCharType="separate"/>
            </w:r>
            <w:r w:rsidR="00D7126E">
              <w:rPr>
                <w:rFonts w:ascii="Georgia" w:hAnsi="Georgia"/>
                <w:bCs/>
                <w:noProof/>
                <w:sz w:val="16"/>
                <w:szCs w:val="16"/>
              </w:rPr>
              <w:t>5</w:t>
            </w:r>
            <w:r w:rsidRPr="006F7F53">
              <w:rPr>
                <w:rFonts w:ascii="Georgia" w:hAnsi="Georgia"/>
                <w:bCs/>
                <w:sz w:val="16"/>
                <w:szCs w:val="16"/>
              </w:rPr>
              <w:fldChar w:fldCharType="end"/>
            </w:r>
            <w:r w:rsidRPr="006F7F53">
              <w:rPr>
                <w:rFonts w:ascii="Georgia" w:hAnsi="Georgia"/>
                <w:bCs/>
                <w:sz w:val="16"/>
                <w:szCs w:val="16"/>
              </w:rPr>
              <w:t>/</w:t>
            </w:r>
            <w:r w:rsidRPr="006F7F53">
              <w:rPr>
                <w:rFonts w:ascii="Georgia" w:hAnsi="Georgia"/>
                <w:bCs/>
                <w:sz w:val="16"/>
                <w:szCs w:val="16"/>
              </w:rPr>
              <w:fldChar w:fldCharType="begin"/>
            </w:r>
            <w:r w:rsidRPr="006F7F53">
              <w:rPr>
                <w:rFonts w:ascii="Georgia" w:hAnsi="Georgia"/>
                <w:bCs/>
                <w:sz w:val="16"/>
                <w:szCs w:val="16"/>
              </w:rPr>
              <w:instrText xml:space="preserve"> NUMPAGES  </w:instrText>
            </w:r>
            <w:r w:rsidRPr="006F7F53">
              <w:rPr>
                <w:rFonts w:ascii="Georgia" w:hAnsi="Georgia"/>
                <w:bCs/>
                <w:sz w:val="16"/>
                <w:szCs w:val="16"/>
              </w:rPr>
              <w:fldChar w:fldCharType="separate"/>
            </w:r>
            <w:r w:rsidR="00D7126E">
              <w:rPr>
                <w:rFonts w:ascii="Georgia" w:hAnsi="Georgia"/>
                <w:bCs/>
                <w:noProof/>
                <w:sz w:val="16"/>
                <w:szCs w:val="16"/>
              </w:rPr>
              <w:t>25</w:t>
            </w:r>
            <w:r w:rsidRPr="006F7F53">
              <w:rPr>
                <w:rFonts w:ascii="Georgia" w:hAnsi="Georgia"/>
                <w:bCs/>
                <w:sz w:val="16"/>
                <w:szCs w:val="16"/>
              </w:rPr>
              <w:fldChar w:fldCharType="end"/>
            </w:r>
            <w:r>
              <w:rPr>
                <w:rFonts w:ascii="Georgia" w:hAnsi="Georgia"/>
                <w:bCs/>
                <w:sz w:val="16"/>
                <w:szCs w:val="16"/>
              </w:rPr>
              <w:tab/>
              <w:t xml:space="preserve">Adatkezelési Szabaályzat Szepesi Vendéglátóipari Kft.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99" w:rsidRDefault="00C24E99" w:rsidP="006C63CE">
      <w:pPr>
        <w:spacing w:after="0" w:line="240" w:lineRule="auto"/>
      </w:pPr>
      <w:r>
        <w:separator/>
      </w:r>
    </w:p>
  </w:footnote>
  <w:footnote w:type="continuationSeparator" w:id="0">
    <w:p w:rsidR="00C24E99" w:rsidRDefault="00C24E99" w:rsidP="006C63CE">
      <w:pPr>
        <w:spacing w:after="0" w:line="240" w:lineRule="auto"/>
      </w:pPr>
      <w:r>
        <w:continuationSeparator/>
      </w:r>
    </w:p>
  </w:footnote>
  <w:footnote w:id="1">
    <w:p w:rsidR="006C63CE" w:rsidRPr="00596D6F" w:rsidRDefault="006C63CE" w:rsidP="006C63CE">
      <w:pPr>
        <w:pStyle w:val="Lbjegyzetszveg"/>
        <w:rPr>
          <w:rFonts w:ascii="Georgia" w:hAnsi="Georgia"/>
          <w:sz w:val="16"/>
          <w:szCs w:val="16"/>
          <w:lang w:val="hu-HU"/>
        </w:rPr>
      </w:pPr>
      <w:r w:rsidRPr="00596D6F">
        <w:rPr>
          <w:rStyle w:val="Lbjegyzet-hivatkozs"/>
          <w:rFonts w:ascii="Georgia" w:hAnsi="Georgia"/>
          <w:sz w:val="16"/>
          <w:szCs w:val="16"/>
        </w:rPr>
        <w:footnoteRef/>
      </w:r>
      <w:r w:rsidRPr="00596D6F">
        <w:rPr>
          <w:rFonts w:ascii="Georgia" w:hAnsi="Georgia"/>
          <w:sz w:val="16"/>
          <w:szCs w:val="16"/>
          <w:lang w:val="hu-HU"/>
        </w:rPr>
        <w:t xml:space="preserve"> A felsorolás nem teljeskörű, további információk a GDPR 6. cikkében találhatók</w:t>
      </w:r>
      <w:r>
        <w:rPr>
          <w:rFonts w:ascii="Georgia" w:hAnsi="Georgia"/>
          <w:sz w:val="16"/>
          <w:szCs w:val="16"/>
          <w:lang w:val="hu-HU"/>
        </w:rPr>
        <w:t>.</w:t>
      </w:r>
    </w:p>
  </w:footnote>
  <w:footnote w:id="2">
    <w:p w:rsidR="006C63CE" w:rsidRPr="00D839CA" w:rsidRDefault="006C63CE" w:rsidP="006C63CE">
      <w:pPr>
        <w:pStyle w:val="Lbjegyzetszveg"/>
        <w:rPr>
          <w:rFonts w:asciiTheme="majorHAnsi" w:hAnsiTheme="majorHAnsi"/>
          <w:sz w:val="16"/>
          <w:szCs w:val="16"/>
          <w:lang w:val="hu-HU"/>
        </w:rPr>
      </w:pPr>
      <w:r w:rsidRPr="00D839CA">
        <w:rPr>
          <w:rStyle w:val="Lbjegyzet-hivatkozs"/>
          <w:rFonts w:asciiTheme="majorHAnsi" w:hAnsiTheme="majorHAnsi"/>
          <w:sz w:val="16"/>
          <w:szCs w:val="16"/>
        </w:rPr>
        <w:footnoteRef/>
      </w:r>
      <w:r w:rsidRPr="00D839CA">
        <w:rPr>
          <w:rFonts w:asciiTheme="majorHAnsi" w:hAnsiTheme="majorHAnsi"/>
          <w:sz w:val="16"/>
          <w:szCs w:val="16"/>
          <w:lang w:val="hu-HU"/>
        </w:rPr>
        <w:t xml:space="preserve"> </w:t>
      </w:r>
      <w:r w:rsidRPr="006141DE">
        <w:rPr>
          <w:rFonts w:asciiTheme="majorHAnsi" w:hAnsiTheme="majorHAnsi"/>
          <w:sz w:val="16"/>
          <w:szCs w:val="16"/>
          <w:lang w:val="hu-HU"/>
        </w:rPr>
        <w:t>A felsorolás nem teljeskörű, további információk a GDPR 9. cikkében találhatók</w:t>
      </w:r>
      <w:r>
        <w:rPr>
          <w:rFonts w:asciiTheme="majorHAnsi" w:hAnsiTheme="majorHAnsi"/>
          <w:sz w:val="16"/>
          <w:szCs w:val="16"/>
          <w:lang w:val="hu-HU"/>
        </w:rPr>
        <w:t>.</w:t>
      </w:r>
    </w:p>
  </w:footnote>
  <w:footnote w:id="3">
    <w:p w:rsidR="006C63CE" w:rsidRPr="001709F9" w:rsidRDefault="006C63CE" w:rsidP="006C63CE">
      <w:pPr>
        <w:pStyle w:val="Lbjegyzetszveg"/>
        <w:rPr>
          <w:lang w:val="hu-HU"/>
        </w:rPr>
      </w:pPr>
      <w:r w:rsidRPr="001709F9">
        <w:rPr>
          <w:rStyle w:val="Lbjegyzet-hivatkozs"/>
          <w:rFonts w:asciiTheme="majorHAnsi" w:hAnsiTheme="majorHAnsi"/>
          <w:sz w:val="16"/>
          <w:szCs w:val="16"/>
        </w:rPr>
        <w:footnoteRef/>
      </w:r>
      <w:r w:rsidRPr="001709F9">
        <w:rPr>
          <w:rFonts w:asciiTheme="majorHAnsi" w:hAnsiTheme="majorHAnsi"/>
          <w:sz w:val="16"/>
          <w:szCs w:val="16"/>
          <w:lang w:val="hu-HU"/>
        </w:rPr>
        <w:t xml:space="preserve"> Az adatvédelmi incidensre vonatkozó szabályokat a jelen </w:t>
      </w:r>
      <w:r w:rsidRPr="000F5552">
        <w:rPr>
          <w:rFonts w:asciiTheme="majorHAnsi" w:hAnsiTheme="majorHAnsi"/>
          <w:sz w:val="16"/>
          <w:szCs w:val="16"/>
          <w:lang w:val="hu-HU"/>
        </w:rPr>
        <w:t xml:space="preserve">szabályzat </w:t>
      </w:r>
      <w:r w:rsidRPr="00925D71">
        <w:rPr>
          <w:rFonts w:asciiTheme="majorHAnsi" w:hAnsiTheme="majorHAnsi"/>
          <w:sz w:val="16"/>
          <w:szCs w:val="16"/>
          <w:lang w:val="hu-HU"/>
        </w:rPr>
        <w:t>6. pontja</w:t>
      </w:r>
      <w:r w:rsidRPr="000F5552">
        <w:rPr>
          <w:rFonts w:asciiTheme="majorHAnsi" w:hAnsiTheme="majorHAnsi"/>
          <w:sz w:val="16"/>
          <w:szCs w:val="16"/>
          <w:lang w:val="hu-HU"/>
        </w:rPr>
        <w:t xml:space="preserve"> tartalmazza</w:t>
      </w:r>
      <w:r w:rsidRPr="001709F9">
        <w:rPr>
          <w:rFonts w:asciiTheme="majorHAnsi" w:hAnsiTheme="majorHAnsi"/>
          <w:sz w:val="16"/>
          <w:szCs w:val="16"/>
          <w:lang w:val="hu-HU"/>
        </w:rPr>
        <w:t>.</w:t>
      </w:r>
    </w:p>
  </w:footnote>
  <w:footnote w:id="4">
    <w:p w:rsidR="006C63CE" w:rsidRPr="00596D6F" w:rsidRDefault="006C63CE" w:rsidP="006C63CE">
      <w:pPr>
        <w:pStyle w:val="Lbjegyzetszveg"/>
        <w:rPr>
          <w:rFonts w:ascii="Georgia" w:hAnsi="Georgia"/>
          <w:sz w:val="16"/>
          <w:szCs w:val="16"/>
          <w:lang w:val="hu-HU"/>
        </w:rPr>
      </w:pPr>
      <w:r w:rsidRPr="00596D6F">
        <w:rPr>
          <w:rStyle w:val="Lbjegyzet-hivatkozs"/>
          <w:rFonts w:ascii="Georgia" w:hAnsi="Georgia"/>
          <w:sz w:val="16"/>
          <w:szCs w:val="16"/>
        </w:rPr>
        <w:footnoteRef/>
      </w:r>
      <w:r w:rsidRPr="00596D6F">
        <w:rPr>
          <w:rFonts w:ascii="Georgia" w:hAnsi="Georgia"/>
          <w:sz w:val="16"/>
          <w:szCs w:val="16"/>
          <w:lang w:val="hu-HU"/>
        </w:rPr>
        <w:t xml:space="preserve"> Abban az esetben alkalmazandó, ha a Vállakozásnak van adatvédelmi tisztviselője.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DF1"/>
    <w:multiLevelType w:val="hybridMultilevel"/>
    <w:tmpl w:val="75E8AF76"/>
    <w:lvl w:ilvl="0" w:tplc="A9F6EF8C">
      <w:start w:val="9"/>
      <w:numFmt w:val="decimal"/>
      <w:lvlText w:val="%1."/>
      <w:lvlJc w:val="left"/>
      <w:pPr>
        <w:ind w:left="852" w:hanging="360"/>
      </w:pPr>
      <w:rPr>
        <w:rFonts w:hint="default"/>
      </w:rPr>
    </w:lvl>
    <w:lvl w:ilvl="1" w:tplc="040E0019" w:tentative="1">
      <w:start w:val="1"/>
      <w:numFmt w:val="lowerLetter"/>
      <w:lvlText w:val="%2."/>
      <w:lvlJc w:val="left"/>
      <w:pPr>
        <w:ind w:left="1572" w:hanging="360"/>
      </w:pPr>
    </w:lvl>
    <w:lvl w:ilvl="2" w:tplc="040E001B" w:tentative="1">
      <w:start w:val="1"/>
      <w:numFmt w:val="lowerRoman"/>
      <w:lvlText w:val="%3."/>
      <w:lvlJc w:val="right"/>
      <w:pPr>
        <w:ind w:left="2292" w:hanging="180"/>
      </w:pPr>
    </w:lvl>
    <w:lvl w:ilvl="3" w:tplc="040E000F" w:tentative="1">
      <w:start w:val="1"/>
      <w:numFmt w:val="decimal"/>
      <w:lvlText w:val="%4."/>
      <w:lvlJc w:val="left"/>
      <w:pPr>
        <w:ind w:left="3012" w:hanging="360"/>
      </w:pPr>
    </w:lvl>
    <w:lvl w:ilvl="4" w:tplc="040E0019" w:tentative="1">
      <w:start w:val="1"/>
      <w:numFmt w:val="lowerLetter"/>
      <w:lvlText w:val="%5."/>
      <w:lvlJc w:val="left"/>
      <w:pPr>
        <w:ind w:left="3732" w:hanging="360"/>
      </w:pPr>
    </w:lvl>
    <w:lvl w:ilvl="5" w:tplc="040E001B" w:tentative="1">
      <w:start w:val="1"/>
      <w:numFmt w:val="lowerRoman"/>
      <w:lvlText w:val="%6."/>
      <w:lvlJc w:val="right"/>
      <w:pPr>
        <w:ind w:left="4452" w:hanging="180"/>
      </w:pPr>
    </w:lvl>
    <w:lvl w:ilvl="6" w:tplc="040E000F" w:tentative="1">
      <w:start w:val="1"/>
      <w:numFmt w:val="decimal"/>
      <w:lvlText w:val="%7."/>
      <w:lvlJc w:val="left"/>
      <w:pPr>
        <w:ind w:left="5172" w:hanging="360"/>
      </w:pPr>
    </w:lvl>
    <w:lvl w:ilvl="7" w:tplc="040E0019" w:tentative="1">
      <w:start w:val="1"/>
      <w:numFmt w:val="lowerLetter"/>
      <w:lvlText w:val="%8."/>
      <w:lvlJc w:val="left"/>
      <w:pPr>
        <w:ind w:left="5892" w:hanging="360"/>
      </w:pPr>
    </w:lvl>
    <w:lvl w:ilvl="8" w:tplc="040E001B" w:tentative="1">
      <w:start w:val="1"/>
      <w:numFmt w:val="lowerRoman"/>
      <w:lvlText w:val="%9."/>
      <w:lvlJc w:val="right"/>
      <w:pPr>
        <w:ind w:left="6612" w:hanging="180"/>
      </w:pPr>
    </w:lvl>
  </w:abstractNum>
  <w:abstractNum w:abstractNumId="1" w15:restartNumberingAfterBreak="0">
    <w:nsid w:val="04001F77"/>
    <w:multiLevelType w:val="hybridMultilevel"/>
    <w:tmpl w:val="6E669DF0"/>
    <w:lvl w:ilvl="0" w:tplc="97AC35AE">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96E24"/>
    <w:multiLevelType w:val="hybridMultilevel"/>
    <w:tmpl w:val="AD1A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4C6"/>
    <w:multiLevelType w:val="hybridMultilevel"/>
    <w:tmpl w:val="8748545E"/>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C0C"/>
    <w:multiLevelType w:val="hybridMultilevel"/>
    <w:tmpl w:val="35404814"/>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143D4"/>
    <w:multiLevelType w:val="multilevel"/>
    <w:tmpl w:val="E2F42BCE"/>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8B5D39"/>
    <w:multiLevelType w:val="hybridMultilevel"/>
    <w:tmpl w:val="45F65A7A"/>
    <w:lvl w:ilvl="0" w:tplc="AE265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92038"/>
    <w:multiLevelType w:val="hybridMultilevel"/>
    <w:tmpl w:val="81A86DD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11D0E1E"/>
    <w:multiLevelType w:val="hybridMultilevel"/>
    <w:tmpl w:val="834EEC0E"/>
    <w:lvl w:ilvl="0" w:tplc="827A1D0C">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C2AB4"/>
    <w:multiLevelType w:val="hybridMultilevel"/>
    <w:tmpl w:val="D9B8F8B6"/>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E5D12"/>
    <w:multiLevelType w:val="hybridMultilevel"/>
    <w:tmpl w:val="A6128B0C"/>
    <w:lvl w:ilvl="0" w:tplc="146E03F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43FE"/>
    <w:multiLevelType w:val="hybridMultilevel"/>
    <w:tmpl w:val="49746794"/>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A0422"/>
    <w:multiLevelType w:val="hybridMultilevel"/>
    <w:tmpl w:val="21946C3E"/>
    <w:lvl w:ilvl="0" w:tplc="F3886130">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7735D"/>
    <w:multiLevelType w:val="hybridMultilevel"/>
    <w:tmpl w:val="310C28E6"/>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31900"/>
    <w:multiLevelType w:val="hybridMultilevel"/>
    <w:tmpl w:val="7B76FE0C"/>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E0C1A"/>
    <w:multiLevelType w:val="hybridMultilevel"/>
    <w:tmpl w:val="8D3013BA"/>
    <w:lvl w:ilvl="0" w:tplc="50044272">
      <w:numFmt w:val="bullet"/>
      <w:lvlText w:val="-"/>
      <w:lvlJc w:val="left"/>
      <w:pPr>
        <w:ind w:left="720" w:hanging="360"/>
      </w:pPr>
      <w:rPr>
        <w:rFonts w:ascii="Arial Narrow" w:eastAsiaTheme="minorHAnsi" w:hAnsi="Arial Narrow"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37E82"/>
    <w:multiLevelType w:val="hybridMultilevel"/>
    <w:tmpl w:val="18A015C2"/>
    <w:lvl w:ilvl="0" w:tplc="146E0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946C7"/>
    <w:multiLevelType w:val="multilevel"/>
    <w:tmpl w:val="1C72B5DA"/>
    <w:lvl w:ilvl="0">
      <w:start w:val="4"/>
      <w:numFmt w:val="decimal"/>
      <w:lvlText w:val="%1"/>
      <w:lvlJc w:val="left"/>
      <w:pPr>
        <w:ind w:left="492" w:hanging="49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BC60B5"/>
    <w:multiLevelType w:val="hybridMultilevel"/>
    <w:tmpl w:val="8A0C7570"/>
    <w:lvl w:ilvl="0" w:tplc="146E03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C6F24"/>
    <w:multiLevelType w:val="hybridMultilevel"/>
    <w:tmpl w:val="23DE6276"/>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F4BB7"/>
    <w:multiLevelType w:val="hybridMultilevel"/>
    <w:tmpl w:val="2F949350"/>
    <w:lvl w:ilvl="0" w:tplc="A8E27208">
      <w:start w:val="8"/>
      <w:numFmt w:val="decimal"/>
      <w:lvlText w:val="%1."/>
      <w:lvlJc w:val="left"/>
      <w:pPr>
        <w:ind w:left="852" w:hanging="360"/>
      </w:pPr>
      <w:rPr>
        <w:rFonts w:hint="default"/>
      </w:rPr>
    </w:lvl>
    <w:lvl w:ilvl="1" w:tplc="040E0019" w:tentative="1">
      <w:start w:val="1"/>
      <w:numFmt w:val="lowerLetter"/>
      <w:lvlText w:val="%2."/>
      <w:lvlJc w:val="left"/>
      <w:pPr>
        <w:ind w:left="1572" w:hanging="360"/>
      </w:pPr>
    </w:lvl>
    <w:lvl w:ilvl="2" w:tplc="040E001B" w:tentative="1">
      <w:start w:val="1"/>
      <w:numFmt w:val="lowerRoman"/>
      <w:lvlText w:val="%3."/>
      <w:lvlJc w:val="right"/>
      <w:pPr>
        <w:ind w:left="2292" w:hanging="180"/>
      </w:pPr>
    </w:lvl>
    <w:lvl w:ilvl="3" w:tplc="040E000F" w:tentative="1">
      <w:start w:val="1"/>
      <w:numFmt w:val="decimal"/>
      <w:lvlText w:val="%4."/>
      <w:lvlJc w:val="left"/>
      <w:pPr>
        <w:ind w:left="3012" w:hanging="360"/>
      </w:pPr>
    </w:lvl>
    <w:lvl w:ilvl="4" w:tplc="040E0019" w:tentative="1">
      <w:start w:val="1"/>
      <w:numFmt w:val="lowerLetter"/>
      <w:lvlText w:val="%5."/>
      <w:lvlJc w:val="left"/>
      <w:pPr>
        <w:ind w:left="3732" w:hanging="360"/>
      </w:pPr>
    </w:lvl>
    <w:lvl w:ilvl="5" w:tplc="040E001B" w:tentative="1">
      <w:start w:val="1"/>
      <w:numFmt w:val="lowerRoman"/>
      <w:lvlText w:val="%6."/>
      <w:lvlJc w:val="right"/>
      <w:pPr>
        <w:ind w:left="4452" w:hanging="180"/>
      </w:pPr>
    </w:lvl>
    <w:lvl w:ilvl="6" w:tplc="040E000F" w:tentative="1">
      <w:start w:val="1"/>
      <w:numFmt w:val="decimal"/>
      <w:lvlText w:val="%7."/>
      <w:lvlJc w:val="left"/>
      <w:pPr>
        <w:ind w:left="5172" w:hanging="360"/>
      </w:pPr>
    </w:lvl>
    <w:lvl w:ilvl="7" w:tplc="040E0019" w:tentative="1">
      <w:start w:val="1"/>
      <w:numFmt w:val="lowerLetter"/>
      <w:lvlText w:val="%8."/>
      <w:lvlJc w:val="left"/>
      <w:pPr>
        <w:ind w:left="5892" w:hanging="360"/>
      </w:pPr>
    </w:lvl>
    <w:lvl w:ilvl="8" w:tplc="040E001B" w:tentative="1">
      <w:start w:val="1"/>
      <w:numFmt w:val="lowerRoman"/>
      <w:lvlText w:val="%9."/>
      <w:lvlJc w:val="right"/>
      <w:pPr>
        <w:ind w:left="6612" w:hanging="180"/>
      </w:pPr>
    </w:lvl>
  </w:abstractNum>
  <w:abstractNum w:abstractNumId="21" w15:restartNumberingAfterBreak="0">
    <w:nsid w:val="427075AB"/>
    <w:multiLevelType w:val="hybridMultilevel"/>
    <w:tmpl w:val="18A015C2"/>
    <w:lvl w:ilvl="0" w:tplc="146E0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E1A32"/>
    <w:multiLevelType w:val="multilevel"/>
    <w:tmpl w:val="1B04F2A8"/>
    <w:lvl w:ilvl="0">
      <w:start w:val="1"/>
      <w:numFmt w:val="decimal"/>
      <w:pStyle w:val="Cmso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msor3"/>
      <w:lvlText w:val="%3."/>
      <w:lvlJc w:val="righ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3" w15:restartNumberingAfterBreak="0">
    <w:nsid w:val="44E848A7"/>
    <w:multiLevelType w:val="hybridMultilevel"/>
    <w:tmpl w:val="DC7AE0CA"/>
    <w:lvl w:ilvl="0" w:tplc="66B0C4C4">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874E8"/>
    <w:multiLevelType w:val="hybridMultilevel"/>
    <w:tmpl w:val="53BE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14130"/>
    <w:multiLevelType w:val="hybridMultilevel"/>
    <w:tmpl w:val="3D1A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04BFF"/>
    <w:multiLevelType w:val="hybridMultilevel"/>
    <w:tmpl w:val="5A5E3978"/>
    <w:lvl w:ilvl="0" w:tplc="AE265FBC">
      <w:start w:val="1"/>
      <w:numFmt w:val="lowerRoman"/>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7" w15:restartNumberingAfterBreak="0">
    <w:nsid w:val="5E5A5ACC"/>
    <w:multiLevelType w:val="hybridMultilevel"/>
    <w:tmpl w:val="360E0F1C"/>
    <w:lvl w:ilvl="0" w:tplc="146E03F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E6F19"/>
    <w:multiLevelType w:val="hybridMultilevel"/>
    <w:tmpl w:val="C00E5B5A"/>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C3AD7"/>
    <w:multiLevelType w:val="hybridMultilevel"/>
    <w:tmpl w:val="F094DE32"/>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17ABD"/>
    <w:multiLevelType w:val="hybridMultilevel"/>
    <w:tmpl w:val="93EE7D42"/>
    <w:lvl w:ilvl="0" w:tplc="CDC6A15A">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CF5321"/>
    <w:multiLevelType w:val="hybridMultilevel"/>
    <w:tmpl w:val="B2B8E99E"/>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E1E42"/>
    <w:multiLevelType w:val="multilevel"/>
    <w:tmpl w:val="39644296"/>
    <w:styleLink w:val="Felsorolsalap"/>
    <w:lvl w:ilvl="0">
      <w:start w:val="1"/>
      <w:numFmt w:val="lowerLetter"/>
      <w:pStyle w:val="Felsorols"/>
      <w:lvlText w:val="%1)"/>
      <w:lvlJc w:val="left"/>
      <w:pPr>
        <w:tabs>
          <w:tab w:val="num" w:pos="1134"/>
        </w:tabs>
        <w:ind w:left="1134" w:hanging="567"/>
      </w:pPr>
      <w:rPr>
        <w:rFonts w:ascii="Georgia" w:hAnsi="Georgia" w:hint="default"/>
        <w:b w:val="0"/>
        <w:i w:val="0"/>
        <w:sz w:val="16"/>
      </w:rPr>
    </w:lvl>
    <w:lvl w:ilvl="1">
      <w:start w:val="1"/>
      <w:numFmt w:val="lowerRoman"/>
      <w:pStyle w:val="Felsorols2"/>
      <w:lvlText w:val="%2)"/>
      <w:lvlJc w:val="left"/>
      <w:pPr>
        <w:tabs>
          <w:tab w:val="num" w:pos="1134"/>
        </w:tabs>
        <w:ind w:left="1701" w:hanging="567"/>
      </w:pPr>
      <w:rPr>
        <w:rFonts w:ascii="Georgia" w:hAnsi="Georgia" w:hint="default"/>
        <w:sz w:val="16"/>
      </w:rPr>
    </w:lvl>
    <w:lvl w:ilvl="2">
      <w:start w:val="1"/>
      <w:numFmt w:val="bullet"/>
      <w:pStyle w:val="Felsorols3"/>
      <w:lvlText w:val=""/>
      <w:lvlJc w:val="left"/>
      <w:pPr>
        <w:tabs>
          <w:tab w:val="num" w:pos="1701"/>
        </w:tabs>
        <w:ind w:left="1701" w:firstLine="0"/>
      </w:pPr>
      <w:rPr>
        <w:rFonts w:ascii="Symbol" w:hAnsi="Symbol" w:hint="default"/>
        <w:sz w:val="16"/>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33" w15:restartNumberingAfterBreak="0">
    <w:nsid w:val="7094235D"/>
    <w:multiLevelType w:val="hybridMultilevel"/>
    <w:tmpl w:val="AE78CB2C"/>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24029"/>
    <w:multiLevelType w:val="hybridMultilevel"/>
    <w:tmpl w:val="104E027A"/>
    <w:lvl w:ilvl="0" w:tplc="41B06E18">
      <w:start w:val="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F079C"/>
    <w:multiLevelType w:val="multilevel"/>
    <w:tmpl w:val="1A6E7154"/>
    <w:lvl w:ilvl="0">
      <w:start w:val="4"/>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1F67B0"/>
    <w:multiLevelType w:val="hybridMultilevel"/>
    <w:tmpl w:val="45CCF80C"/>
    <w:lvl w:ilvl="0" w:tplc="AE265F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F16F3"/>
    <w:multiLevelType w:val="hybridMultilevel"/>
    <w:tmpl w:val="1C264C56"/>
    <w:lvl w:ilvl="0" w:tplc="146E03F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6"/>
  </w:num>
  <w:num w:numId="4">
    <w:abstractNumId w:val="21"/>
  </w:num>
  <w:num w:numId="5">
    <w:abstractNumId w:val="16"/>
  </w:num>
  <w:num w:numId="6">
    <w:abstractNumId w:val="24"/>
  </w:num>
  <w:num w:numId="7">
    <w:abstractNumId w:val="15"/>
  </w:num>
  <w:num w:numId="8">
    <w:abstractNumId w:val="32"/>
    <w:lvlOverride w:ilvl="0">
      <w:lvl w:ilvl="0">
        <w:start w:val="1"/>
        <w:numFmt w:val="lowerLetter"/>
        <w:pStyle w:val="Felsorols"/>
        <w:lvlText w:val="%1)"/>
        <w:lvlJc w:val="left"/>
        <w:pPr>
          <w:tabs>
            <w:tab w:val="num" w:pos="1134"/>
          </w:tabs>
          <w:ind w:left="1134" w:hanging="567"/>
        </w:pPr>
        <w:rPr>
          <w:rFonts w:ascii="Georgia" w:hAnsi="Georgia" w:hint="default"/>
          <w:b w:val="0"/>
          <w:i w:val="0"/>
          <w:sz w:val="22"/>
          <w:szCs w:val="22"/>
        </w:rPr>
      </w:lvl>
    </w:lvlOverride>
    <w:lvlOverride w:ilvl="1">
      <w:lvl w:ilvl="1">
        <w:start w:val="1"/>
        <w:numFmt w:val="lowerRoman"/>
        <w:pStyle w:val="Felsorols2"/>
        <w:lvlText w:val="%2)"/>
        <w:lvlJc w:val="left"/>
        <w:pPr>
          <w:tabs>
            <w:tab w:val="num" w:pos="1134"/>
          </w:tabs>
          <w:ind w:left="1701" w:hanging="567"/>
        </w:pPr>
        <w:rPr>
          <w:rFonts w:ascii="Georgia" w:hAnsi="Georgia" w:hint="default"/>
          <w:sz w:val="16"/>
        </w:rPr>
      </w:lvl>
    </w:lvlOverride>
    <w:lvlOverride w:ilvl="2">
      <w:lvl w:ilvl="2">
        <w:start w:val="1"/>
        <w:numFmt w:val="bullet"/>
        <w:pStyle w:val="Felsorols3"/>
        <w:lvlText w:val=""/>
        <w:lvlJc w:val="left"/>
        <w:pPr>
          <w:tabs>
            <w:tab w:val="num" w:pos="1701"/>
          </w:tabs>
          <w:ind w:left="1701" w:firstLine="0"/>
        </w:pPr>
        <w:rPr>
          <w:rFonts w:ascii="Symbol" w:hAnsi="Symbol" w:hint="default"/>
          <w:sz w:val="16"/>
        </w:rPr>
      </w:lvl>
    </w:lvlOverride>
    <w:lvlOverride w:ilvl="3">
      <w:lvl w:ilvl="3">
        <w:start w:val="1"/>
        <w:numFmt w:val="decimal"/>
        <w:lvlText w:val="(%4)"/>
        <w:lvlJc w:val="left"/>
        <w:pPr>
          <w:tabs>
            <w:tab w:val="num" w:pos="1134"/>
          </w:tabs>
          <w:ind w:left="1134" w:hanging="567"/>
        </w:pPr>
        <w:rPr>
          <w:rFonts w:hint="default"/>
        </w:rPr>
      </w:lvl>
    </w:lvlOverride>
    <w:lvlOverride w:ilvl="4">
      <w:lvl w:ilvl="4">
        <w:start w:val="1"/>
        <w:numFmt w:val="lowerLetter"/>
        <w:lvlText w:val="(%5)"/>
        <w:lvlJc w:val="left"/>
        <w:pPr>
          <w:tabs>
            <w:tab w:val="num" w:pos="1134"/>
          </w:tabs>
          <w:ind w:left="1134" w:hanging="567"/>
        </w:pPr>
        <w:rPr>
          <w:rFonts w:hint="default"/>
        </w:rPr>
      </w:lvl>
    </w:lvlOverride>
    <w:lvlOverride w:ilvl="5">
      <w:lvl w:ilvl="5">
        <w:start w:val="1"/>
        <w:numFmt w:val="lowerRoman"/>
        <w:lvlText w:val="(%6)"/>
        <w:lvlJc w:val="left"/>
        <w:pPr>
          <w:tabs>
            <w:tab w:val="num" w:pos="1134"/>
          </w:tabs>
          <w:ind w:left="1134" w:hanging="567"/>
        </w:pPr>
        <w:rPr>
          <w:rFonts w:hint="default"/>
        </w:rPr>
      </w:lvl>
    </w:lvlOverride>
    <w:lvlOverride w:ilvl="6">
      <w:lvl w:ilvl="6">
        <w:start w:val="1"/>
        <w:numFmt w:val="decimal"/>
        <w:lvlText w:val="%7."/>
        <w:lvlJc w:val="left"/>
        <w:pPr>
          <w:tabs>
            <w:tab w:val="num" w:pos="1134"/>
          </w:tabs>
          <w:ind w:left="1134" w:hanging="567"/>
        </w:pPr>
        <w:rPr>
          <w:rFonts w:hint="default"/>
        </w:rPr>
      </w:lvl>
    </w:lvlOverride>
    <w:lvlOverride w:ilvl="7">
      <w:lvl w:ilvl="7">
        <w:start w:val="1"/>
        <w:numFmt w:val="lowerLetter"/>
        <w:lvlText w:val="%8."/>
        <w:lvlJc w:val="left"/>
        <w:pPr>
          <w:tabs>
            <w:tab w:val="num" w:pos="1134"/>
          </w:tabs>
          <w:ind w:left="1134" w:hanging="567"/>
        </w:pPr>
        <w:rPr>
          <w:rFonts w:hint="default"/>
        </w:rPr>
      </w:lvl>
    </w:lvlOverride>
    <w:lvlOverride w:ilvl="8">
      <w:lvl w:ilvl="8">
        <w:start w:val="1"/>
        <w:numFmt w:val="lowerRoman"/>
        <w:lvlText w:val="%9."/>
        <w:lvlJc w:val="left"/>
        <w:pPr>
          <w:tabs>
            <w:tab w:val="num" w:pos="1134"/>
          </w:tabs>
          <w:ind w:left="1134" w:hanging="567"/>
        </w:pPr>
        <w:rPr>
          <w:rFonts w:hint="default"/>
        </w:rPr>
      </w:lvl>
    </w:lvlOverride>
  </w:num>
  <w:num w:numId="9">
    <w:abstractNumId w:val="32"/>
  </w:num>
  <w:num w:numId="10">
    <w:abstractNumId w:val="27"/>
  </w:num>
  <w:num w:numId="11">
    <w:abstractNumId w:val="10"/>
  </w:num>
  <w:num w:numId="12">
    <w:abstractNumId w:val="18"/>
  </w:num>
  <w:num w:numId="13">
    <w:abstractNumId w:val="37"/>
  </w:num>
  <w:num w:numId="14">
    <w:abstractNumId w:val="23"/>
  </w:num>
  <w:num w:numId="15">
    <w:abstractNumId w:val="4"/>
  </w:num>
  <w:num w:numId="16">
    <w:abstractNumId w:val="11"/>
  </w:num>
  <w:num w:numId="17">
    <w:abstractNumId w:val="13"/>
  </w:num>
  <w:num w:numId="18">
    <w:abstractNumId w:val="29"/>
  </w:num>
  <w:num w:numId="19">
    <w:abstractNumId w:val="26"/>
  </w:num>
  <w:num w:numId="20">
    <w:abstractNumId w:val="14"/>
  </w:num>
  <w:num w:numId="21">
    <w:abstractNumId w:val="3"/>
  </w:num>
  <w:num w:numId="22">
    <w:abstractNumId w:val="9"/>
  </w:num>
  <w:num w:numId="23">
    <w:abstractNumId w:val="34"/>
  </w:num>
  <w:num w:numId="24">
    <w:abstractNumId w:val="1"/>
  </w:num>
  <w:num w:numId="25">
    <w:abstractNumId w:val="12"/>
  </w:num>
  <w:num w:numId="26">
    <w:abstractNumId w:val="8"/>
  </w:num>
  <w:num w:numId="27">
    <w:abstractNumId w:val="28"/>
  </w:num>
  <w:num w:numId="28">
    <w:abstractNumId w:val="31"/>
  </w:num>
  <w:num w:numId="29">
    <w:abstractNumId w:val="19"/>
  </w:num>
  <w:num w:numId="30">
    <w:abstractNumId w:val="36"/>
  </w:num>
  <w:num w:numId="31">
    <w:abstractNumId w:val="7"/>
  </w:num>
  <w:num w:numId="32">
    <w:abstractNumId w:val="35"/>
  </w:num>
  <w:num w:numId="33">
    <w:abstractNumId w:val="17"/>
  </w:num>
  <w:num w:numId="34">
    <w:abstractNumId w:val="5"/>
  </w:num>
  <w:num w:numId="35">
    <w:abstractNumId w:val="2"/>
  </w:num>
  <w:num w:numId="36">
    <w:abstractNumId w:val="33"/>
  </w:num>
  <w:num w:numId="37">
    <w:abstractNumId w:val="25"/>
  </w:num>
  <w:num w:numId="38">
    <w:abstractNumId w:val="2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CE"/>
    <w:rsid w:val="000B5EA9"/>
    <w:rsid w:val="003755E7"/>
    <w:rsid w:val="006C63CE"/>
    <w:rsid w:val="00C24E99"/>
    <w:rsid w:val="00D712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8DD73-709A-4370-9BBF-23378B26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2"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63CE"/>
    <w:rPr>
      <w:lang w:val="en-US"/>
    </w:rPr>
  </w:style>
  <w:style w:type="paragraph" w:styleId="Cmsor1">
    <w:name w:val="heading 1"/>
    <w:aliases w:val="RAP Heading 1"/>
    <w:basedOn w:val="Norml"/>
    <w:next w:val="Norml"/>
    <w:link w:val="Cmsor1Char"/>
    <w:uiPriority w:val="9"/>
    <w:qFormat/>
    <w:rsid w:val="006C63C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aliases w:val="RAP Heading 2"/>
    <w:basedOn w:val="Norml"/>
    <w:next w:val="Norml"/>
    <w:link w:val="Cmsor2Char"/>
    <w:uiPriority w:val="9"/>
    <w:unhideWhenUsed/>
    <w:qFormat/>
    <w:rsid w:val="006C63CE"/>
    <w:pPr>
      <w:keepNext/>
      <w:keepLines/>
      <w:numPr>
        <w:ilvl w:val="1"/>
        <w:numId w:val="1"/>
      </w:numPr>
      <w:spacing w:before="120" w:after="120"/>
      <w:outlineLvl w:val="1"/>
    </w:pPr>
    <w:rPr>
      <w:rFonts w:asciiTheme="majorHAnsi" w:eastAsiaTheme="majorEastAsia" w:hAnsiTheme="majorHAnsi" w:cstheme="majorBidi"/>
      <w:b/>
      <w:color w:val="000000" w:themeColor="text1"/>
      <w:sz w:val="26"/>
      <w:szCs w:val="26"/>
      <w:lang w:val="hu-HU"/>
    </w:rPr>
  </w:style>
  <w:style w:type="paragraph" w:styleId="Cmsor3">
    <w:name w:val="heading 3"/>
    <w:aliases w:val="RAP Heading 3"/>
    <w:basedOn w:val="Norml"/>
    <w:next w:val="Norml"/>
    <w:link w:val="Cmsor3Char"/>
    <w:uiPriority w:val="9"/>
    <w:unhideWhenUsed/>
    <w:qFormat/>
    <w:rsid w:val="006C63C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lang w:val="hu-HU"/>
    </w:rPr>
  </w:style>
  <w:style w:type="paragraph" w:styleId="Cmsor4">
    <w:name w:val="heading 4"/>
    <w:basedOn w:val="Norml"/>
    <w:next w:val="Norml"/>
    <w:link w:val="Cmsor4Char"/>
    <w:uiPriority w:val="9"/>
    <w:unhideWhenUsed/>
    <w:qFormat/>
    <w:rsid w:val="006C63C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sz w:val="20"/>
    </w:rPr>
  </w:style>
  <w:style w:type="paragraph" w:styleId="Cmsor5">
    <w:name w:val="heading 5"/>
    <w:basedOn w:val="Norml"/>
    <w:next w:val="Norml"/>
    <w:link w:val="Cmsor5Char"/>
    <w:uiPriority w:val="9"/>
    <w:semiHidden/>
    <w:unhideWhenUsed/>
    <w:qFormat/>
    <w:rsid w:val="006C63CE"/>
    <w:pPr>
      <w:keepNext/>
      <w:keepLines/>
      <w:numPr>
        <w:ilvl w:val="4"/>
        <w:numId w:val="1"/>
      </w:numPr>
      <w:spacing w:before="40" w:after="0"/>
      <w:outlineLvl w:val="4"/>
    </w:pPr>
    <w:rPr>
      <w:rFonts w:asciiTheme="majorHAnsi" w:eastAsiaTheme="majorEastAsia" w:hAnsiTheme="majorHAnsi" w:cstheme="majorBidi"/>
      <w:color w:val="2E74B5" w:themeColor="accent1" w:themeShade="BF"/>
      <w:sz w:val="20"/>
    </w:rPr>
  </w:style>
  <w:style w:type="paragraph" w:styleId="Cmsor6">
    <w:name w:val="heading 6"/>
    <w:basedOn w:val="Norml"/>
    <w:next w:val="Norml"/>
    <w:link w:val="Cmsor6Char"/>
    <w:uiPriority w:val="9"/>
    <w:semiHidden/>
    <w:unhideWhenUsed/>
    <w:qFormat/>
    <w:rsid w:val="006C63CE"/>
    <w:pPr>
      <w:keepNext/>
      <w:keepLines/>
      <w:numPr>
        <w:ilvl w:val="5"/>
        <w:numId w:val="1"/>
      </w:numPr>
      <w:spacing w:before="40" w:after="0"/>
      <w:outlineLvl w:val="5"/>
    </w:pPr>
    <w:rPr>
      <w:rFonts w:asciiTheme="majorHAnsi" w:eastAsiaTheme="majorEastAsia" w:hAnsiTheme="majorHAnsi" w:cstheme="majorBidi"/>
      <w:color w:val="1F4D78" w:themeColor="accent1" w:themeShade="7F"/>
      <w:sz w:val="20"/>
    </w:rPr>
  </w:style>
  <w:style w:type="paragraph" w:styleId="Cmsor7">
    <w:name w:val="heading 7"/>
    <w:basedOn w:val="Norml"/>
    <w:next w:val="Norml"/>
    <w:link w:val="Cmsor7Char"/>
    <w:uiPriority w:val="9"/>
    <w:semiHidden/>
    <w:unhideWhenUsed/>
    <w:qFormat/>
    <w:rsid w:val="006C63C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0"/>
    </w:rPr>
  </w:style>
  <w:style w:type="paragraph" w:styleId="Cmsor8">
    <w:name w:val="heading 8"/>
    <w:basedOn w:val="Norml"/>
    <w:next w:val="Norml"/>
    <w:link w:val="Cmsor8Char"/>
    <w:uiPriority w:val="9"/>
    <w:semiHidden/>
    <w:unhideWhenUsed/>
    <w:qFormat/>
    <w:rsid w:val="006C63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6C63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AP Heading 1 Char"/>
    <w:basedOn w:val="Bekezdsalapbettpusa"/>
    <w:link w:val="Cmsor1"/>
    <w:uiPriority w:val="9"/>
    <w:rsid w:val="006C63CE"/>
    <w:rPr>
      <w:rFonts w:asciiTheme="majorHAnsi" w:eastAsiaTheme="majorEastAsia" w:hAnsiTheme="majorHAnsi" w:cstheme="majorBidi"/>
      <w:color w:val="2E74B5" w:themeColor="accent1" w:themeShade="BF"/>
      <w:sz w:val="32"/>
      <w:szCs w:val="32"/>
      <w:lang w:val="en-US"/>
    </w:rPr>
  </w:style>
  <w:style w:type="character" w:customStyle="1" w:styleId="Cmsor2Char">
    <w:name w:val="Címsor 2 Char"/>
    <w:aliases w:val="RAP Heading 2 Char"/>
    <w:basedOn w:val="Bekezdsalapbettpusa"/>
    <w:link w:val="Cmsor2"/>
    <w:uiPriority w:val="9"/>
    <w:rsid w:val="006C63CE"/>
    <w:rPr>
      <w:rFonts w:asciiTheme="majorHAnsi" w:eastAsiaTheme="majorEastAsia" w:hAnsiTheme="majorHAnsi" w:cstheme="majorBidi"/>
      <w:b/>
      <w:color w:val="000000" w:themeColor="text1"/>
      <w:sz w:val="26"/>
      <w:szCs w:val="26"/>
    </w:rPr>
  </w:style>
  <w:style w:type="character" w:customStyle="1" w:styleId="Cmsor3Char">
    <w:name w:val="Címsor 3 Char"/>
    <w:aliases w:val="RAP Heading 3 Char"/>
    <w:basedOn w:val="Bekezdsalapbettpusa"/>
    <w:link w:val="Cmsor3"/>
    <w:uiPriority w:val="9"/>
    <w:rsid w:val="006C63CE"/>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6C63CE"/>
    <w:rPr>
      <w:rFonts w:asciiTheme="majorHAnsi" w:eastAsiaTheme="majorEastAsia" w:hAnsiTheme="majorHAnsi" w:cstheme="majorBidi"/>
      <w:i/>
      <w:iCs/>
      <w:color w:val="2E74B5" w:themeColor="accent1" w:themeShade="BF"/>
      <w:sz w:val="20"/>
      <w:lang w:val="en-US"/>
    </w:rPr>
  </w:style>
  <w:style w:type="character" w:customStyle="1" w:styleId="Cmsor5Char">
    <w:name w:val="Címsor 5 Char"/>
    <w:basedOn w:val="Bekezdsalapbettpusa"/>
    <w:link w:val="Cmsor5"/>
    <w:uiPriority w:val="9"/>
    <w:semiHidden/>
    <w:rsid w:val="006C63CE"/>
    <w:rPr>
      <w:rFonts w:asciiTheme="majorHAnsi" w:eastAsiaTheme="majorEastAsia" w:hAnsiTheme="majorHAnsi" w:cstheme="majorBidi"/>
      <w:color w:val="2E74B5" w:themeColor="accent1" w:themeShade="BF"/>
      <w:sz w:val="20"/>
      <w:lang w:val="en-US"/>
    </w:rPr>
  </w:style>
  <w:style w:type="character" w:customStyle="1" w:styleId="Cmsor6Char">
    <w:name w:val="Címsor 6 Char"/>
    <w:basedOn w:val="Bekezdsalapbettpusa"/>
    <w:link w:val="Cmsor6"/>
    <w:uiPriority w:val="9"/>
    <w:semiHidden/>
    <w:rsid w:val="006C63CE"/>
    <w:rPr>
      <w:rFonts w:asciiTheme="majorHAnsi" w:eastAsiaTheme="majorEastAsia" w:hAnsiTheme="majorHAnsi" w:cstheme="majorBidi"/>
      <w:color w:val="1F4D78" w:themeColor="accent1" w:themeShade="7F"/>
      <w:sz w:val="20"/>
      <w:lang w:val="en-US"/>
    </w:rPr>
  </w:style>
  <w:style w:type="character" w:customStyle="1" w:styleId="Cmsor7Char">
    <w:name w:val="Címsor 7 Char"/>
    <w:basedOn w:val="Bekezdsalapbettpusa"/>
    <w:link w:val="Cmsor7"/>
    <w:uiPriority w:val="9"/>
    <w:semiHidden/>
    <w:rsid w:val="006C63CE"/>
    <w:rPr>
      <w:rFonts w:asciiTheme="majorHAnsi" w:eastAsiaTheme="majorEastAsia" w:hAnsiTheme="majorHAnsi" w:cstheme="majorBidi"/>
      <w:i/>
      <w:iCs/>
      <w:color w:val="1F4D78" w:themeColor="accent1" w:themeShade="7F"/>
      <w:sz w:val="20"/>
      <w:lang w:val="en-US"/>
    </w:rPr>
  </w:style>
  <w:style w:type="character" w:customStyle="1" w:styleId="Cmsor8Char">
    <w:name w:val="Címsor 8 Char"/>
    <w:basedOn w:val="Bekezdsalapbettpusa"/>
    <w:link w:val="Cmsor8"/>
    <w:uiPriority w:val="9"/>
    <w:semiHidden/>
    <w:rsid w:val="006C63CE"/>
    <w:rPr>
      <w:rFonts w:asciiTheme="majorHAnsi" w:eastAsiaTheme="majorEastAsia" w:hAnsiTheme="majorHAnsi"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6C63CE"/>
    <w:rPr>
      <w:rFonts w:asciiTheme="majorHAnsi" w:eastAsiaTheme="majorEastAsia" w:hAnsiTheme="majorHAnsi" w:cstheme="majorBidi"/>
      <w:i/>
      <w:iCs/>
      <w:color w:val="272727" w:themeColor="text1" w:themeTint="D8"/>
      <w:sz w:val="21"/>
      <w:szCs w:val="21"/>
      <w:lang w:val="en-US"/>
    </w:rPr>
  </w:style>
  <w:style w:type="paragraph" w:styleId="Listaszerbekezds">
    <w:name w:val="List Paragraph"/>
    <w:basedOn w:val="Norml"/>
    <w:link w:val="ListaszerbekezdsChar"/>
    <w:uiPriority w:val="34"/>
    <w:qFormat/>
    <w:rsid w:val="006C63CE"/>
    <w:pPr>
      <w:ind w:left="720"/>
      <w:contextualSpacing/>
    </w:pPr>
  </w:style>
  <w:style w:type="paragraph" w:styleId="lfej">
    <w:name w:val="header"/>
    <w:basedOn w:val="Norml"/>
    <w:link w:val="lfejChar"/>
    <w:uiPriority w:val="99"/>
    <w:unhideWhenUsed/>
    <w:rsid w:val="006C63CE"/>
    <w:pPr>
      <w:tabs>
        <w:tab w:val="center" w:pos="4703"/>
        <w:tab w:val="right" w:pos="9406"/>
      </w:tabs>
      <w:spacing w:after="0" w:line="240" w:lineRule="auto"/>
    </w:pPr>
  </w:style>
  <w:style w:type="character" w:customStyle="1" w:styleId="lfejChar">
    <w:name w:val="Élőfej Char"/>
    <w:basedOn w:val="Bekezdsalapbettpusa"/>
    <w:link w:val="lfej"/>
    <w:uiPriority w:val="99"/>
    <w:rsid w:val="006C63CE"/>
    <w:rPr>
      <w:lang w:val="en-US"/>
    </w:rPr>
  </w:style>
  <w:style w:type="paragraph" w:styleId="llb">
    <w:name w:val="footer"/>
    <w:basedOn w:val="Norml"/>
    <w:link w:val="llbChar"/>
    <w:uiPriority w:val="99"/>
    <w:unhideWhenUsed/>
    <w:rsid w:val="006C63CE"/>
    <w:pPr>
      <w:tabs>
        <w:tab w:val="center" w:pos="4703"/>
        <w:tab w:val="right" w:pos="9406"/>
      </w:tabs>
      <w:spacing w:after="0" w:line="240" w:lineRule="auto"/>
    </w:pPr>
  </w:style>
  <w:style w:type="character" w:customStyle="1" w:styleId="llbChar">
    <w:name w:val="Élőláb Char"/>
    <w:basedOn w:val="Bekezdsalapbettpusa"/>
    <w:link w:val="llb"/>
    <w:uiPriority w:val="99"/>
    <w:rsid w:val="006C63CE"/>
    <w:rPr>
      <w:lang w:val="en-US"/>
    </w:rPr>
  </w:style>
  <w:style w:type="paragraph" w:customStyle="1" w:styleId="Normal1">
    <w:name w:val="Normal1"/>
    <w:basedOn w:val="Norml"/>
    <w:rsid w:val="006C63CE"/>
    <w:pPr>
      <w:spacing w:before="100" w:beforeAutospacing="1" w:after="100" w:afterAutospacing="1" w:line="240" w:lineRule="auto"/>
    </w:pPr>
    <w:rPr>
      <w:rFonts w:ascii="Times New Roman" w:eastAsia="Times New Roman" w:hAnsi="Times New Roman" w:cs="Times New Roman"/>
      <w:sz w:val="24"/>
      <w:szCs w:val="24"/>
    </w:rPr>
  </w:style>
  <w:style w:type="paragraph" w:styleId="Buborkszveg">
    <w:name w:val="Balloon Text"/>
    <w:basedOn w:val="Norml"/>
    <w:link w:val="BuborkszvegChar"/>
    <w:uiPriority w:val="99"/>
    <w:semiHidden/>
    <w:unhideWhenUsed/>
    <w:rsid w:val="006C63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C63CE"/>
    <w:rPr>
      <w:rFonts w:ascii="Segoe UI" w:hAnsi="Segoe UI" w:cs="Segoe UI"/>
      <w:sz w:val="18"/>
      <w:szCs w:val="18"/>
      <w:lang w:val="en-US"/>
    </w:rPr>
  </w:style>
  <w:style w:type="character" w:styleId="Kiemels">
    <w:name w:val="Emphasis"/>
    <w:basedOn w:val="Bekezdsalapbettpusa"/>
    <w:uiPriority w:val="20"/>
    <w:qFormat/>
    <w:rsid w:val="006C63CE"/>
    <w:rPr>
      <w:i/>
      <w:iCs/>
    </w:rPr>
  </w:style>
  <w:style w:type="character" w:customStyle="1" w:styleId="ListaszerbekezdsChar">
    <w:name w:val="Listaszerű bekezdés Char"/>
    <w:link w:val="Listaszerbekezds"/>
    <w:uiPriority w:val="34"/>
    <w:locked/>
    <w:rsid w:val="006C63CE"/>
    <w:rPr>
      <w:lang w:val="en-US"/>
    </w:rPr>
  </w:style>
  <w:style w:type="paragraph" w:styleId="NormlWeb">
    <w:name w:val="Normal (Web)"/>
    <w:basedOn w:val="Norml"/>
    <w:uiPriority w:val="99"/>
    <w:semiHidden/>
    <w:unhideWhenUsed/>
    <w:rsid w:val="006C6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Bekezdsalapbettpusa"/>
    <w:rsid w:val="006C63CE"/>
  </w:style>
  <w:style w:type="paragraph" w:customStyle="1" w:styleId="Normal2">
    <w:name w:val="Normal2"/>
    <w:basedOn w:val="Norml"/>
    <w:rsid w:val="006C63CE"/>
    <w:pPr>
      <w:spacing w:before="100" w:beforeAutospacing="1" w:after="100" w:afterAutospacing="1" w:line="240" w:lineRule="auto"/>
    </w:pPr>
    <w:rPr>
      <w:rFonts w:ascii="Times New Roman" w:eastAsia="Times New Roman" w:hAnsi="Times New Roman" w:cs="Times New Roman"/>
      <w:sz w:val="24"/>
      <w:szCs w:val="24"/>
    </w:rPr>
  </w:style>
  <w:style w:type="paragraph" w:styleId="Felsorols">
    <w:name w:val="List Bullet"/>
    <w:aliases w:val="Felsorolás kisbetűs"/>
    <w:basedOn w:val="Norml"/>
    <w:uiPriority w:val="11"/>
    <w:unhideWhenUsed/>
    <w:qFormat/>
    <w:rsid w:val="006C63CE"/>
    <w:pPr>
      <w:numPr>
        <w:numId w:val="8"/>
      </w:numPr>
      <w:spacing w:after="60" w:line="240" w:lineRule="auto"/>
      <w:jc w:val="both"/>
    </w:pPr>
    <w:rPr>
      <w:rFonts w:eastAsiaTheme="minorEastAsia" w:cstheme="minorHAnsi"/>
      <w:color w:val="44546A" w:themeColor="text2"/>
      <w:szCs w:val="20"/>
      <w:lang w:val="hu-HU" w:eastAsia="hu-HU"/>
    </w:rPr>
  </w:style>
  <w:style w:type="paragraph" w:styleId="Felsorols2">
    <w:name w:val="List Bullet 2"/>
    <w:aliases w:val="Felsorolás kis római számos"/>
    <w:basedOn w:val="Norml"/>
    <w:uiPriority w:val="12"/>
    <w:unhideWhenUsed/>
    <w:qFormat/>
    <w:rsid w:val="006C63CE"/>
    <w:pPr>
      <w:numPr>
        <w:ilvl w:val="1"/>
        <w:numId w:val="8"/>
      </w:numPr>
      <w:spacing w:after="60" w:line="240" w:lineRule="auto"/>
      <w:jc w:val="both"/>
    </w:pPr>
    <w:rPr>
      <w:rFonts w:eastAsiaTheme="minorEastAsia" w:cstheme="minorHAnsi"/>
      <w:color w:val="44546A" w:themeColor="text2"/>
      <w:szCs w:val="20"/>
      <w:lang w:val="hu-HU" w:eastAsia="hu-HU"/>
    </w:rPr>
  </w:style>
  <w:style w:type="paragraph" w:styleId="Felsorols3">
    <w:name w:val="List Bullet 3"/>
    <w:aliases w:val="Felsorolás bulletpoint"/>
    <w:basedOn w:val="Norml"/>
    <w:uiPriority w:val="13"/>
    <w:unhideWhenUsed/>
    <w:qFormat/>
    <w:rsid w:val="006C63CE"/>
    <w:pPr>
      <w:numPr>
        <w:ilvl w:val="2"/>
        <w:numId w:val="8"/>
      </w:numPr>
      <w:spacing w:after="60" w:line="240" w:lineRule="auto"/>
      <w:jc w:val="both"/>
    </w:pPr>
    <w:rPr>
      <w:rFonts w:eastAsiaTheme="minorEastAsia" w:cstheme="minorHAnsi"/>
      <w:color w:val="44546A" w:themeColor="text2"/>
      <w:szCs w:val="20"/>
      <w:lang w:val="hu-HU" w:eastAsia="hu-HU"/>
    </w:rPr>
  </w:style>
  <w:style w:type="numbering" w:customStyle="1" w:styleId="Felsorolsalap">
    <w:name w:val="Felsorolásalap"/>
    <w:basedOn w:val="Nemlista"/>
    <w:uiPriority w:val="99"/>
    <w:locked/>
    <w:rsid w:val="006C63CE"/>
    <w:pPr>
      <w:numPr>
        <w:numId w:val="8"/>
      </w:numPr>
    </w:pPr>
  </w:style>
  <w:style w:type="paragraph" w:customStyle="1" w:styleId="Bekezdsszmozott2">
    <w:name w:val="Bekezdés számozott 2"/>
    <w:basedOn w:val="Cmsor3"/>
    <w:link w:val="Bekezdsszmozott2Char"/>
    <w:uiPriority w:val="10"/>
    <w:qFormat/>
    <w:rsid w:val="006C63CE"/>
    <w:pPr>
      <w:keepNext w:val="0"/>
      <w:keepLines w:val="0"/>
      <w:widowControl w:val="0"/>
      <w:spacing w:before="0" w:after="120" w:line="240" w:lineRule="auto"/>
      <w:jc w:val="both"/>
    </w:pPr>
    <w:rPr>
      <w:color w:val="44546A" w:themeColor="text2"/>
      <w:sz w:val="22"/>
      <w:lang w:eastAsia="hu-HU"/>
    </w:rPr>
  </w:style>
  <w:style w:type="character" w:customStyle="1" w:styleId="Bekezdsszmozott2Char">
    <w:name w:val="Bekezdés számozott 2 Char"/>
    <w:basedOn w:val="Bekezdsalapbettpusa"/>
    <w:link w:val="Bekezdsszmozott2"/>
    <w:uiPriority w:val="10"/>
    <w:rsid w:val="006C63CE"/>
    <w:rPr>
      <w:rFonts w:asciiTheme="majorHAnsi" w:eastAsiaTheme="majorEastAsia" w:hAnsiTheme="majorHAnsi" w:cstheme="majorBidi"/>
      <w:color w:val="44546A" w:themeColor="text2"/>
      <w:szCs w:val="24"/>
      <w:lang w:eastAsia="hu-HU"/>
    </w:rPr>
  </w:style>
  <w:style w:type="character" w:styleId="Lbjegyzet-hivatkozs">
    <w:name w:val="footnote reference"/>
    <w:basedOn w:val="Bekezdsalapbettpusa"/>
    <w:uiPriority w:val="99"/>
    <w:semiHidden/>
    <w:rsid w:val="006C63CE"/>
    <w:rPr>
      <w:vertAlign w:val="superscript"/>
    </w:rPr>
  </w:style>
  <w:style w:type="paragraph" w:styleId="Lbjegyzetszveg">
    <w:name w:val="footnote text"/>
    <w:basedOn w:val="Norml"/>
    <w:link w:val="LbjegyzetszvegChar"/>
    <w:uiPriority w:val="99"/>
    <w:semiHidden/>
    <w:unhideWhenUsed/>
    <w:rsid w:val="006C63C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C63CE"/>
    <w:rPr>
      <w:sz w:val="20"/>
      <w:szCs w:val="20"/>
      <w:lang w:val="en-US"/>
    </w:rPr>
  </w:style>
  <w:style w:type="character" w:styleId="Hiperhivatkozs">
    <w:name w:val="Hyperlink"/>
    <w:basedOn w:val="Bekezdsalapbettpusa"/>
    <w:uiPriority w:val="99"/>
    <w:rsid w:val="006C63CE"/>
    <w:rPr>
      <w:color w:val="0563C1" w:themeColor="hyperlink"/>
      <w:u w:val="single"/>
    </w:rPr>
  </w:style>
  <w:style w:type="paragraph" w:customStyle="1" w:styleId="Bekezdsbehzott">
    <w:name w:val="Bekezdés behúzott"/>
    <w:basedOn w:val="Norml"/>
    <w:link w:val="BekezdsbehzottChar"/>
    <w:uiPriority w:val="1"/>
    <w:qFormat/>
    <w:rsid w:val="006C63CE"/>
    <w:pPr>
      <w:spacing w:after="120" w:line="240" w:lineRule="auto"/>
      <w:ind w:left="709"/>
      <w:jc w:val="both"/>
    </w:pPr>
    <w:rPr>
      <w:rFonts w:eastAsiaTheme="minorEastAsia" w:cstheme="minorHAnsi"/>
      <w:color w:val="44546A" w:themeColor="text2"/>
      <w:szCs w:val="20"/>
      <w:lang w:val="hu-HU" w:eastAsia="hu-HU"/>
    </w:rPr>
  </w:style>
  <w:style w:type="character" w:customStyle="1" w:styleId="BekezdsbehzottChar">
    <w:name w:val="Bekezdés behúzott Char"/>
    <w:basedOn w:val="Bekezdsalapbettpusa"/>
    <w:link w:val="Bekezdsbehzott"/>
    <w:uiPriority w:val="1"/>
    <w:rsid w:val="006C63CE"/>
    <w:rPr>
      <w:rFonts w:eastAsiaTheme="minorEastAsia" w:cstheme="minorHAnsi"/>
      <w:color w:val="44546A" w:themeColor="text2"/>
      <w:szCs w:val="20"/>
      <w:lang w:eastAsia="hu-HU"/>
    </w:rPr>
  </w:style>
  <w:style w:type="character" w:styleId="Jegyzethivatkozs">
    <w:name w:val="annotation reference"/>
    <w:basedOn w:val="Bekezdsalapbettpusa"/>
    <w:uiPriority w:val="99"/>
    <w:semiHidden/>
    <w:unhideWhenUsed/>
    <w:rsid w:val="006C63CE"/>
    <w:rPr>
      <w:sz w:val="16"/>
      <w:szCs w:val="16"/>
    </w:rPr>
  </w:style>
  <w:style w:type="paragraph" w:styleId="Jegyzetszveg">
    <w:name w:val="annotation text"/>
    <w:basedOn w:val="Norml"/>
    <w:link w:val="JegyzetszvegChar"/>
    <w:uiPriority w:val="99"/>
    <w:unhideWhenUsed/>
    <w:rsid w:val="006C63CE"/>
    <w:pPr>
      <w:spacing w:line="240" w:lineRule="auto"/>
    </w:pPr>
    <w:rPr>
      <w:sz w:val="20"/>
      <w:szCs w:val="20"/>
    </w:rPr>
  </w:style>
  <w:style w:type="character" w:customStyle="1" w:styleId="JegyzetszvegChar">
    <w:name w:val="Jegyzetszöveg Char"/>
    <w:basedOn w:val="Bekezdsalapbettpusa"/>
    <w:link w:val="Jegyzetszveg"/>
    <w:uiPriority w:val="99"/>
    <w:rsid w:val="006C63CE"/>
    <w:rPr>
      <w:sz w:val="20"/>
      <w:szCs w:val="20"/>
      <w:lang w:val="en-US"/>
    </w:rPr>
  </w:style>
  <w:style w:type="paragraph" w:styleId="Megjegyzstrgya">
    <w:name w:val="annotation subject"/>
    <w:basedOn w:val="Jegyzetszveg"/>
    <w:next w:val="Jegyzetszveg"/>
    <w:link w:val="MegjegyzstrgyaChar"/>
    <w:uiPriority w:val="99"/>
    <w:semiHidden/>
    <w:unhideWhenUsed/>
    <w:rsid w:val="006C63CE"/>
    <w:rPr>
      <w:b/>
      <w:bCs/>
    </w:rPr>
  </w:style>
  <w:style w:type="character" w:customStyle="1" w:styleId="MegjegyzstrgyaChar">
    <w:name w:val="Megjegyzés tárgya Char"/>
    <w:basedOn w:val="JegyzetszvegChar"/>
    <w:link w:val="Megjegyzstrgya"/>
    <w:uiPriority w:val="99"/>
    <w:semiHidden/>
    <w:rsid w:val="006C63CE"/>
    <w:rPr>
      <w:b/>
      <w:bCs/>
      <w:sz w:val="20"/>
      <w:szCs w:val="20"/>
      <w:lang w:val="en-US"/>
    </w:rPr>
  </w:style>
  <w:style w:type="paragraph" w:styleId="Vltozat">
    <w:name w:val="Revision"/>
    <w:hidden/>
    <w:uiPriority w:val="99"/>
    <w:semiHidden/>
    <w:rsid w:val="006C63CE"/>
    <w:pPr>
      <w:spacing w:after="0" w:line="240" w:lineRule="auto"/>
    </w:pPr>
    <w:rPr>
      <w:lang w:val="en-US"/>
    </w:rPr>
  </w:style>
  <w:style w:type="paragraph" w:styleId="Tartalomjegyzkcmsora">
    <w:name w:val="TOC Heading"/>
    <w:basedOn w:val="Cmsor1"/>
    <w:next w:val="Norml"/>
    <w:uiPriority w:val="39"/>
    <w:unhideWhenUsed/>
    <w:qFormat/>
    <w:rsid w:val="006C63CE"/>
    <w:pPr>
      <w:numPr>
        <w:numId w:val="0"/>
      </w:numPr>
      <w:outlineLvl w:val="9"/>
    </w:pPr>
  </w:style>
  <w:style w:type="paragraph" w:styleId="TJ1">
    <w:name w:val="toc 1"/>
    <w:basedOn w:val="Norml"/>
    <w:next w:val="Norml"/>
    <w:autoRedefine/>
    <w:uiPriority w:val="39"/>
    <w:unhideWhenUsed/>
    <w:rsid w:val="006C63CE"/>
    <w:pPr>
      <w:tabs>
        <w:tab w:val="left" w:pos="440"/>
        <w:tab w:val="right" w:leader="dot" w:pos="9350"/>
      </w:tabs>
      <w:spacing w:after="100"/>
    </w:pPr>
  </w:style>
  <w:style w:type="paragraph" w:styleId="TJ2">
    <w:name w:val="toc 2"/>
    <w:basedOn w:val="Norml"/>
    <w:next w:val="Norml"/>
    <w:autoRedefine/>
    <w:uiPriority w:val="39"/>
    <w:unhideWhenUsed/>
    <w:rsid w:val="006C63CE"/>
    <w:pPr>
      <w:tabs>
        <w:tab w:val="left" w:pos="880"/>
        <w:tab w:val="right" w:leader="dot" w:pos="9350"/>
      </w:tabs>
      <w:spacing w:after="100"/>
      <w:ind w:left="220"/>
    </w:pPr>
  </w:style>
  <w:style w:type="paragraph" w:styleId="TJ3">
    <w:name w:val="toc 3"/>
    <w:basedOn w:val="Norml"/>
    <w:next w:val="Norml"/>
    <w:autoRedefine/>
    <w:uiPriority w:val="39"/>
    <w:unhideWhenUsed/>
    <w:rsid w:val="006C63CE"/>
    <w:pPr>
      <w:tabs>
        <w:tab w:val="left" w:pos="1276"/>
        <w:tab w:val="right" w:leader="dot" w:pos="9350"/>
      </w:tabs>
      <w:spacing w:after="100"/>
      <w:ind w:left="440"/>
    </w:pPr>
  </w:style>
  <w:style w:type="table" w:styleId="Rcsostblzat">
    <w:name w:val="Table Grid"/>
    <w:basedOn w:val="Normltblzat"/>
    <w:uiPriority w:val="39"/>
    <w:rsid w:val="006C63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Norml"/>
    <w:rsid w:val="006C63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l"/>
    <w:rsid w:val="006C6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Bekezdsalapbettpusa"/>
    <w:rsid w:val="006C63CE"/>
  </w:style>
  <w:style w:type="paragraph" w:customStyle="1" w:styleId="Normal5">
    <w:name w:val="Normal5"/>
    <w:basedOn w:val="Norml"/>
    <w:rsid w:val="006C6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epcio@strandhotel.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rosag.hu/torvenyszekek" TargetMode="External"/><Relationship Id="rId4" Type="http://schemas.openxmlformats.org/officeDocument/2006/relationships/webSettings" Target="webSettings.xml"/><Relationship Id="rId9"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7884</Words>
  <Characters>54401</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Hotel-PC</dc:creator>
  <cp:keywords/>
  <dc:description/>
  <cp:lastModifiedBy>Hotel-PC</cp:lastModifiedBy>
  <cp:revision>1</cp:revision>
  <cp:lastPrinted>2018-05-25T07:59:00Z</cp:lastPrinted>
  <dcterms:created xsi:type="dcterms:W3CDTF">2018-05-25T06:57:00Z</dcterms:created>
  <dcterms:modified xsi:type="dcterms:W3CDTF">2018-05-25T08:00:00Z</dcterms:modified>
</cp:coreProperties>
</file>